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ECB0" w14:textId="77777777" w:rsidR="000670E0" w:rsidRDefault="000670E0" w:rsidP="00B34702">
      <w:pPr>
        <w:pStyle w:val="Titre"/>
        <w:rPr>
          <w:b/>
          <w:sz w:val="48"/>
          <w:szCs w:val="48"/>
        </w:rPr>
      </w:pPr>
    </w:p>
    <w:p w14:paraId="1B9D0CC9" w14:textId="45809F0B" w:rsidR="00FA1014" w:rsidRDefault="00ED18DF" w:rsidP="00B34702">
      <w:pPr>
        <w:pStyle w:val="Titre"/>
        <w:rPr>
          <w:b/>
          <w:sz w:val="48"/>
          <w:szCs w:val="48"/>
        </w:rPr>
      </w:pPr>
      <w:r>
        <w:rPr>
          <w:b/>
          <w:sz w:val="48"/>
          <w:szCs w:val="48"/>
        </w:rPr>
        <w:t>Compte administratif 20</w:t>
      </w:r>
      <w:r w:rsidR="0009146B">
        <w:rPr>
          <w:b/>
          <w:sz w:val="48"/>
          <w:szCs w:val="48"/>
        </w:rPr>
        <w:t>2</w:t>
      </w:r>
      <w:r w:rsidR="005E046B">
        <w:rPr>
          <w:b/>
          <w:sz w:val="48"/>
          <w:szCs w:val="48"/>
        </w:rPr>
        <w:t>2</w:t>
      </w:r>
    </w:p>
    <w:p w14:paraId="73003443" w14:textId="77777777" w:rsidR="00B34702" w:rsidRPr="00FA1014" w:rsidRDefault="005174DC" w:rsidP="00B34702">
      <w:pPr>
        <w:pStyle w:val="Titre"/>
        <w:rPr>
          <w:b/>
          <w:sz w:val="48"/>
          <w:szCs w:val="48"/>
        </w:rPr>
      </w:pPr>
      <w:r>
        <w:rPr>
          <w:b/>
          <w:sz w:val="26"/>
          <w:szCs w:val="26"/>
        </w:rPr>
        <w:t>B</w:t>
      </w:r>
      <w:r w:rsidR="00490434">
        <w:rPr>
          <w:b/>
          <w:sz w:val="26"/>
          <w:szCs w:val="26"/>
        </w:rPr>
        <w:t xml:space="preserve">udget </w:t>
      </w:r>
      <w:r w:rsidR="00C37C65">
        <w:rPr>
          <w:b/>
          <w:sz w:val="26"/>
          <w:szCs w:val="26"/>
        </w:rPr>
        <w:t xml:space="preserve">annexe </w:t>
      </w:r>
      <w:r w:rsidR="004F0906">
        <w:rPr>
          <w:b/>
          <w:sz w:val="26"/>
          <w:szCs w:val="26"/>
        </w:rPr>
        <w:t>d’</w:t>
      </w:r>
      <w:r w:rsidR="00F10154">
        <w:rPr>
          <w:b/>
          <w:sz w:val="26"/>
          <w:szCs w:val="26"/>
        </w:rPr>
        <w:t>assainissement</w:t>
      </w:r>
    </w:p>
    <w:p w14:paraId="69E1E5D9" w14:textId="77777777" w:rsidR="000670E0" w:rsidRPr="000670E0" w:rsidRDefault="000670E0" w:rsidP="00B34702">
      <w:pPr>
        <w:pStyle w:val="Titre"/>
        <w:rPr>
          <w:b/>
          <w:sz w:val="20"/>
          <w:szCs w:val="20"/>
        </w:rPr>
      </w:pPr>
    </w:p>
    <w:p w14:paraId="1A3BAB3F" w14:textId="77777777" w:rsidR="00B34702" w:rsidRPr="00490434" w:rsidRDefault="00B34702" w:rsidP="00B34702">
      <w:pPr>
        <w:pStyle w:val="Titre"/>
        <w:rPr>
          <w:b/>
          <w:sz w:val="48"/>
          <w:szCs w:val="48"/>
        </w:rPr>
      </w:pPr>
      <w:r w:rsidRPr="00490434">
        <w:rPr>
          <w:b/>
          <w:sz w:val="48"/>
          <w:szCs w:val="48"/>
        </w:rPr>
        <w:t>Présentation synthétique</w:t>
      </w:r>
    </w:p>
    <w:p w14:paraId="7E255B90" w14:textId="4156FEA2" w:rsidR="00623BFA" w:rsidRDefault="00FA1014" w:rsidP="00623BFA">
      <w:pPr>
        <w:pStyle w:val="Corpsdetext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Les résul</w:t>
      </w:r>
      <w:r w:rsidR="0009146B">
        <w:rPr>
          <w:rFonts w:asciiTheme="minorHAnsi" w:eastAsiaTheme="minorHAnsi" w:hAnsiTheme="minorHAnsi" w:cstheme="minorBidi"/>
          <w:sz w:val="22"/>
          <w:szCs w:val="22"/>
          <w:lang w:eastAsia="en-US"/>
        </w:rPr>
        <w:t>tats du compte administratif 202</w:t>
      </w:r>
      <w:r w:rsidR="005E046B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du budget annexe d’assainissement s’établissent ainsi :</w:t>
      </w:r>
    </w:p>
    <w:p w14:paraId="7A368EAE" w14:textId="77777777" w:rsidR="00380F25" w:rsidRDefault="00380F25" w:rsidP="00623BFA">
      <w:pPr>
        <w:pStyle w:val="Corpsdetext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0CB4A8" w14:textId="65C23A77" w:rsidR="007D7455" w:rsidRPr="00380F25" w:rsidRDefault="00ED18DF" w:rsidP="007D7455">
      <w:pPr>
        <w:numPr>
          <w:ilvl w:val="0"/>
          <w:numId w:val="8"/>
        </w:numPr>
        <w:spacing w:after="0" w:line="240" w:lineRule="auto"/>
      </w:pPr>
      <w:proofErr w:type="gramStart"/>
      <w:r>
        <w:t>les</w:t>
      </w:r>
      <w:proofErr w:type="gramEnd"/>
      <w:r>
        <w:t xml:space="preserve"> dépenses d’exploitation se sont élevées à </w:t>
      </w:r>
      <w:r w:rsidR="008C430A">
        <w:t>15,9</w:t>
      </w:r>
      <w:r w:rsidR="005E046B">
        <w:t>6</w:t>
      </w:r>
      <w:r w:rsidR="007D7455">
        <w:t xml:space="preserve"> M€ et les recettes représentent </w:t>
      </w:r>
      <w:r w:rsidR="005E046B">
        <w:t>31,05</w:t>
      </w:r>
      <w:r w:rsidR="007D7455">
        <w:t xml:space="preserve"> M€. Le solde d’exécution</w:t>
      </w:r>
      <w:r>
        <w:t xml:space="preserve"> de la section d’ex</w:t>
      </w:r>
      <w:r w:rsidR="0009146B">
        <w:t xml:space="preserve">ploitation est un excédent de </w:t>
      </w:r>
      <w:r w:rsidR="005E046B">
        <w:t>15,09</w:t>
      </w:r>
      <w:r w:rsidR="007D7455">
        <w:t xml:space="preserve"> M€ ;</w:t>
      </w:r>
    </w:p>
    <w:p w14:paraId="747B45DA" w14:textId="4100FAC2" w:rsidR="00380F25" w:rsidRDefault="00380F25" w:rsidP="00380F25">
      <w:pPr>
        <w:numPr>
          <w:ilvl w:val="0"/>
          <w:numId w:val="8"/>
        </w:numPr>
        <w:spacing w:after="0" w:line="240" w:lineRule="auto"/>
      </w:pPr>
      <w:proofErr w:type="gramStart"/>
      <w:r>
        <w:t>les</w:t>
      </w:r>
      <w:proofErr w:type="gramEnd"/>
      <w:r>
        <w:t xml:space="preserve"> dépenses d’investissement ont été réalisées à hauteur de </w:t>
      </w:r>
      <w:r w:rsidR="005E046B">
        <w:t>28,73</w:t>
      </w:r>
      <w:r>
        <w:t xml:space="preserve"> M€ et les recettes d’investissement s’établissent à </w:t>
      </w:r>
      <w:r w:rsidR="005E046B">
        <w:t>33,21</w:t>
      </w:r>
      <w:r>
        <w:t xml:space="preserve"> M€. Le solde de la section</w:t>
      </w:r>
      <w:r w:rsidR="00ED18DF">
        <w:t xml:space="preserve"> </w:t>
      </w:r>
      <w:r w:rsidR="0009146B">
        <w:t xml:space="preserve">d’investissement est un </w:t>
      </w:r>
      <w:r w:rsidR="008C430A">
        <w:t>excédent</w:t>
      </w:r>
      <w:r w:rsidR="0009146B">
        <w:t xml:space="preserve"> de </w:t>
      </w:r>
      <w:r w:rsidR="005E046B">
        <w:t>4,48</w:t>
      </w:r>
      <w:r w:rsidR="007D7455">
        <w:t xml:space="preserve"> M€.</w:t>
      </w:r>
    </w:p>
    <w:p w14:paraId="3833BE92" w14:textId="77777777" w:rsidR="004F0906" w:rsidRDefault="004F0906" w:rsidP="004F0906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>
        <w:t>Dépenses d’exploitation</w:t>
      </w:r>
    </w:p>
    <w:p w14:paraId="3422C2FA" w14:textId="228D93D8" w:rsidR="004F0906" w:rsidRPr="004D4BB3" w:rsidRDefault="0009146B" w:rsidP="004F0906">
      <w:pPr>
        <w:rPr>
          <w:color w:val="FF0000"/>
        </w:rPr>
      </w:pPr>
      <w:r>
        <w:t>En 202</w:t>
      </w:r>
      <w:r w:rsidR="005E046B">
        <w:t>2</w:t>
      </w:r>
      <w:r w:rsidR="00445959" w:rsidRPr="00445959">
        <w:t xml:space="preserve">, les dépenses se sont établies à </w:t>
      </w:r>
      <w:r w:rsidR="008C430A">
        <w:t>15,9</w:t>
      </w:r>
      <w:r w:rsidR="005E046B">
        <w:t>6</w:t>
      </w:r>
      <w:r w:rsidR="00445959" w:rsidRPr="00445959">
        <w:t xml:space="preserve"> M€ contre </w:t>
      </w:r>
      <w:r w:rsidR="005E046B">
        <w:t>15,93</w:t>
      </w:r>
      <w:r w:rsidR="00445959" w:rsidRPr="00445959">
        <w:t xml:space="preserve"> M€ en 20</w:t>
      </w:r>
      <w:r w:rsidR="008C430A">
        <w:t>2</w:t>
      </w:r>
      <w:r w:rsidR="005E046B">
        <w:t>1</w:t>
      </w:r>
      <w:r w:rsidR="00445959" w:rsidRPr="00445959">
        <w:t xml:space="preserve">. </w:t>
      </w:r>
      <w:r w:rsidR="004F0906" w:rsidRPr="00445959">
        <w:t xml:space="preserve">Les dépenses réelles </w:t>
      </w:r>
      <w:r w:rsidR="00445959" w:rsidRPr="00445959">
        <w:t xml:space="preserve">ont </w:t>
      </w:r>
      <w:r w:rsidR="004F0906" w:rsidRPr="00445959">
        <w:t>représent</w:t>
      </w:r>
      <w:r w:rsidR="00445959" w:rsidRPr="00445959">
        <w:t>é</w:t>
      </w:r>
      <w:r w:rsidR="004F0906" w:rsidRPr="00445959">
        <w:t xml:space="preserve"> </w:t>
      </w:r>
      <w:r w:rsidR="005E046B">
        <w:t>4,86</w:t>
      </w:r>
      <w:r w:rsidR="004F0906" w:rsidRPr="00445959">
        <w:t xml:space="preserve"> M€</w:t>
      </w:r>
      <w:r w:rsidR="00445959">
        <w:t xml:space="preserve">, dont </w:t>
      </w:r>
      <w:r>
        <w:t>3,</w:t>
      </w:r>
      <w:r w:rsidR="005E046B">
        <w:t>49</w:t>
      </w:r>
      <w:r w:rsidR="00445959">
        <w:t xml:space="preserve"> M€ au</w:t>
      </w:r>
      <w:r w:rsidR="007D7455">
        <w:t xml:space="preserve"> titre des charges de personnel</w:t>
      </w:r>
      <w:r w:rsidR="00630490">
        <w:t>, 0,71 M€ au titre des charges exceptionnelles</w:t>
      </w:r>
      <w:r w:rsidR="00445959">
        <w:t xml:space="preserve"> et 0,</w:t>
      </w:r>
      <w:r>
        <w:t>4</w:t>
      </w:r>
      <w:r w:rsidR="005E046B">
        <w:t>2</w:t>
      </w:r>
      <w:r w:rsidR="00445959" w:rsidRPr="00445959">
        <w:t xml:space="preserve"> M€ au titre des charges à caractère général.</w:t>
      </w:r>
      <w:r w:rsidR="004F0906" w:rsidRPr="00445959">
        <w:t xml:space="preserve"> Les dépenses d’ordre s</w:t>
      </w:r>
      <w:r w:rsidR="00445959" w:rsidRPr="00445959">
        <w:t>e sont élevées</w:t>
      </w:r>
      <w:r w:rsidR="004F0906" w:rsidRPr="00445959">
        <w:t xml:space="preserve"> à </w:t>
      </w:r>
      <w:r w:rsidR="008C430A">
        <w:t>11,</w:t>
      </w:r>
      <w:r w:rsidR="005E046B">
        <w:t>10</w:t>
      </w:r>
      <w:r w:rsidR="004F0906" w:rsidRPr="00445959">
        <w:t xml:space="preserve"> M€</w:t>
      </w:r>
      <w:r w:rsidR="00445959" w:rsidRPr="00445959">
        <w:t xml:space="preserve">, </w:t>
      </w:r>
      <w:r w:rsidR="004F0906" w:rsidRPr="00445959">
        <w:t xml:space="preserve">constituées </w:t>
      </w:r>
      <w:r w:rsidR="00BB413A" w:rsidRPr="00445959">
        <w:t>de la dotation</w:t>
      </w:r>
      <w:r w:rsidR="00050646" w:rsidRPr="00445959">
        <w:t xml:space="preserve"> aux amortissements des immobilisations</w:t>
      </w:r>
      <w:r w:rsidR="00445959" w:rsidRPr="00445959">
        <w:t>.</w:t>
      </w:r>
    </w:p>
    <w:p w14:paraId="349EC5CA" w14:textId="77777777" w:rsidR="00B34702" w:rsidRDefault="00B34702" w:rsidP="00B34702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>
        <w:t xml:space="preserve">Recettes </w:t>
      </w:r>
      <w:r w:rsidR="00C701C8">
        <w:t>d’exploitation</w:t>
      </w:r>
    </w:p>
    <w:p w14:paraId="4A16AF79" w14:textId="7B194B17" w:rsidR="00623BFA" w:rsidRPr="004D4BB3" w:rsidRDefault="00EB49DF" w:rsidP="004E4E40">
      <w:pPr>
        <w:rPr>
          <w:color w:val="FF0000"/>
        </w:rPr>
      </w:pPr>
      <w:r w:rsidRPr="00E851CB">
        <w:t xml:space="preserve">Les recettes </w:t>
      </w:r>
      <w:r w:rsidR="00623BFA" w:rsidRPr="00E851CB">
        <w:t>de la section d’exploitat</w:t>
      </w:r>
      <w:r w:rsidR="00B5741C" w:rsidRPr="00E851CB">
        <w:t xml:space="preserve">ion </w:t>
      </w:r>
      <w:r w:rsidR="000E0BBB">
        <w:t xml:space="preserve">se sont élevées à </w:t>
      </w:r>
      <w:r w:rsidR="009C5A53">
        <w:t>31,05</w:t>
      </w:r>
      <w:r w:rsidR="00E851CB">
        <w:t xml:space="preserve"> M€ co</w:t>
      </w:r>
      <w:r w:rsidR="00ED18DF">
        <w:t xml:space="preserve">ntre </w:t>
      </w:r>
      <w:r w:rsidR="009C5A53">
        <w:t>28,39</w:t>
      </w:r>
      <w:r w:rsidR="008C430A">
        <w:t xml:space="preserve"> M€ en 202</w:t>
      </w:r>
      <w:r w:rsidR="008D4A5D">
        <w:t>1</w:t>
      </w:r>
      <w:r w:rsidR="00ED18DF">
        <w:t xml:space="preserve">, dont </w:t>
      </w:r>
      <w:r w:rsidR="009C5A53">
        <w:t>27,15</w:t>
      </w:r>
      <w:r w:rsidR="00B15AB4">
        <w:t xml:space="preserve"> M€ de </w:t>
      </w:r>
      <w:r w:rsidR="007D7455">
        <w:t>recettes</w:t>
      </w:r>
      <w:r w:rsidR="00B15AB4">
        <w:t xml:space="preserve"> réelles (</w:t>
      </w:r>
      <w:r w:rsidR="002E4A91">
        <w:t xml:space="preserve">dont </w:t>
      </w:r>
      <w:r w:rsidR="008C430A">
        <w:t>18,</w:t>
      </w:r>
      <w:r w:rsidR="009C5A53">
        <w:t>35</w:t>
      </w:r>
      <w:r w:rsidR="00B15AB4">
        <w:t xml:space="preserve"> M€ au titre de la r</w:t>
      </w:r>
      <w:r w:rsidR="00ED18DF">
        <w:t xml:space="preserve">edevance d’assainissement et </w:t>
      </w:r>
      <w:r w:rsidR="009C5A53">
        <w:t>1,79</w:t>
      </w:r>
      <w:r w:rsidR="00B15AB4">
        <w:t xml:space="preserve"> M€ au titre de la contribution du budget général pour les eaux pluviales)</w:t>
      </w:r>
      <w:r w:rsidR="00E851CB" w:rsidRPr="00E851CB">
        <w:t>.</w:t>
      </w:r>
    </w:p>
    <w:p w14:paraId="63568DAC" w14:textId="77777777" w:rsidR="004F0906" w:rsidRDefault="004F0906" w:rsidP="004F0906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>
        <w:t>Dépenses d’investissement</w:t>
      </w:r>
    </w:p>
    <w:p w14:paraId="0A85DBBA" w14:textId="6CD895E8" w:rsidR="004F0906" w:rsidRPr="00B15AB4" w:rsidRDefault="00CD26C1" w:rsidP="004F0906">
      <w:r>
        <w:t>En 202</w:t>
      </w:r>
      <w:r w:rsidR="009C5A53">
        <w:t>2</w:t>
      </w:r>
      <w:r w:rsidR="00B15AB4" w:rsidRPr="00B15AB4">
        <w:t>, l</w:t>
      </w:r>
      <w:r w:rsidR="00EB49DF" w:rsidRPr="00B15AB4">
        <w:t xml:space="preserve">es dépenses </w:t>
      </w:r>
      <w:r w:rsidR="00B15AB4" w:rsidRPr="00B15AB4">
        <w:t>se sont établies</w:t>
      </w:r>
      <w:r w:rsidR="00EB49DF" w:rsidRPr="00B15AB4">
        <w:t xml:space="preserve"> à </w:t>
      </w:r>
      <w:r w:rsidR="009C5A53">
        <w:t>28,73</w:t>
      </w:r>
      <w:r w:rsidR="00EB49DF" w:rsidRPr="00B15AB4">
        <w:t xml:space="preserve"> M€</w:t>
      </w:r>
      <w:r w:rsidR="00B15AB4" w:rsidRPr="00B15AB4">
        <w:t xml:space="preserve"> contre </w:t>
      </w:r>
      <w:r w:rsidR="009C5A53">
        <w:t>39,93</w:t>
      </w:r>
      <w:r w:rsidR="008C430A">
        <w:t xml:space="preserve"> M€ en 202</w:t>
      </w:r>
      <w:r w:rsidR="009C5A53">
        <w:t>1</w:t>
      </w:r>
      <w:r w:rsidR="00EB49DF" w:rsidRPr="00B15AB4">
        <w:t xml:space="preserve">. Les dépenses réelles </w:t>
      </w:r>
      <w:r w:rsidR="00B15AB4" w:rsidRPr="00B15AB4">
        <w:t xml:space="preserve">ont </w:t>
      </w:r>
      <w:r w:rsidR="00EB49DF" w:rsidRPr="00B15AB4">
        <w:t>représent</w:t>
      </w:r>
      <w:r w:rsidR="00B15AB4" w:rsidRPr="00B15AB4">
        <w:t>é</w:t>
      </w:r>
      <w:r w:rsidR="00EB49DF" w:rsidRPr="00B15AB4">
        <w:t xml:space="preserve"> </w:t>
      </w:r>
      <w:r w:rsidR="009C5A53">
        <w:t>24,33</w:t>
      </w:r>
      <w:r w:rsidR="00B15AB4" w:rsidRPr="00B15AB4">
        <w:t xml:space="preserve"> </w:t>
      </w:r>
      <w:r w:rsidR="00EB49DF" w:rsidRPr="00B15AB4">
        <w:t xml:space="preserve">M€ et sont constituées </w:t>
      </w:r>
      <w:r w:rsidR="005174DC" w:rsidRPr="00B15AB4">
        <w:t>des dépenses relatives aux travaux</w:t>
      </w:r>
      <w:r w:rsidR="00B5741C" w:rsidRPr="00B15AB4">
        <w:t xml:space="preserve"> et aux études</w:t>
      </w:r>
      <w:r w:rsidR="005174DC" w:rsidRPr="00B15AB4">
        <w:t xml:space="preserve"> </w:t>
      </w:r>
      <w:r w:rsidR="00604583">
        <w:br/>
      </w:r>
      <w:r w:rsidR="00B5741C" w:rsidRPr="00604583">
        <w:t>(</w:t>
      </w:r>
      <w:r w:rsidR="009C5A53">
        <w:t>18,89</w:t>
      </w:r>
      <w:r w:rsidR="005174DC" w:rsidRPr="00604583">
        <w:t xml:space="preserve"> M€</w:t>
      </w:r>
      <w:r w:rsidR="00B5741C" w:rsidRPr="00604583">
        <w:t>)</w:t>
      </w:r>
      <w:r w:rsidR="005174DC" w:rsidRPr="00604583">
        <w:t xml:space="preserve"> et </w:t>
      </w:r>
      <w:r w:rsidR="00EB49DF" w:rsidRPr="00604583">
        <w:t>des dépen</w:t>
      </w:r>
      <w:r w:rsidR="005174DC" w:rsidRPr="00604583">
        <w:t xml:space="preserve">ses financières </w:t>
      </w:r>
      <w:r w:rsidR="00B5741C" w:rsidRPr="00604583">
        <w:t>(</w:t>
      </w:r>
      <w:r w:rsidR="007F141C">
        <w:t>5,44</w:t>
      </w:r>
      <w:r w:rsidR="005174DC" w:rsidRPr="00604583">
        <w:t xml:space="preserve"> M€</w:t>
      </w:r>
      <w:r w:rsidR="00B5741C" w:rsidRPr="00604583">
        <w:t>)</w:t>
      </w:r>
      <w:r w:rsidR="005174DC" w:rsidRPr="00604583">
        <w:t>.</w:t>
      </w:r>
      <w:r w:rsidR="00EB49DF" w:rsidRPr="00604583">
        <w:t xml:space="preserve"> </w:t>
      </w:r>
      <w:r w:rsidR="00B15AB4" w:rsidRPr="00604583">
        <w:t xml:space="preserve">Les dépenses d’ordre ont représenté un total </w:t>
      </w:r>
      <w:r w:rsidR="00ED2462" w:rsidRPr="00604583">
        <w:t xml:space="preserve">de </w:t>
      </w:r>
      <w:r w:rsidR="008C430A" w:rsidRPr="00604583">
        <w:t>4,</w:t>
      </w:r>
      <w:r w:rsidR="00573F44">
        <w:t>40</w:t>
      </w:r>
      <w:r w:rsidR="00B15AB4" w:rsidRPr="00604583">
        <w:t xml:space="preserve"> </w:t>
      </w:r>
      <w:r w:rsidR="00B15AB4" w:rsidRPr="00B15AB4">
        <w:t>M€.</w:t>
      </w:r>
    </w:p>
    <w:p w14:paraId="4C4B12AF" w14:textId="77777777" w:rsidR="00B34702" w:rsidRDefault="00BD18A2" w:rsidP="00B34702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>
        <w:t>Recettes</w:t>
      </w:r>
      <w:r w:rsidR="00B34702">
        <w:t xml:space="preserve"> d’investissement</w:t>
      </w:r>
    </w:p>
    <w:p w14:paraId="098658B7" w14:textId="52124C77" w:rsidR="00BD18A2" w:rsidRPr="009173A8" w:rsidRDefault="00BD18A2" w:rsidP="00BD18A2">
      <w:r w:rsidRPr="009173A8">
        <w:t xml:space="preserve">Les </w:t>
      </w:r>
      <w:r w:rsidR="005E2EDB" w:rsidRPr="009173A8">
        <w:t>recettes de la section d’investissement se sont élevées</w:t>
      </w:r>
      <w:r w:rsidRPr="009173A8">
        <w:t xml:space="preserve"> à </w:t>
      </w:r>
      <w:r w:rsidR="00B94D02">
        <w:t>33,21</w:t>
      </w:r>
      <w:r w:rsidR="00604583">
        <w:t xml:space="preserve"> </w:t>
      </w:r>
      <w:r w:rsidRPr="009173A8">
        <w:t>M€</w:t>
      </w:r>
      <w:r w:rsidR="005E2EDB" w:rsidRPr="009173A8">
        <w:t xml:space="preserve"> contre </w:t>
      </w:r>
      <w:r w:rsidR="00B94D02">
        <w:t>41,35</w:t>
      </w:r>
      <w:r w:rsidR="00EE13BD">
        <w:t xml:space="preserve"> </w:t>
      </w:r>
      <w:r w:rsidR="0036296E">
        <w:t>M€ en 20</w:t>
      </w:r>
      <w:r w:rsidR="00604583">
        <w:t>2</w:t>
      </w:r>
      <w:r w:rsidR="00B94D02">
        <w:t>1</w:t>
      </w:r>
      <w:r w:rsidR="00EB49DF" w:rsidRPr="009173A8">
        <w:t xml:space="preserve">, dont </w:t>
      </w:r>
      <w:r w:rsidR="00B94D02">
        <w:t>21,61</w:t>
      </w:r>
      <w:r w:rsidR="00EB49DF" w:rsidRPr="009173A8">
        <w:t xml:space="preserve"> M€ de recettes réelles </w:t>
      </w:r>
      <w:r w:rsidR="005E2EDB" w:rsidRPr="009173A8">
        <w:t xml:space="preserve">(dont </w:t>
      </w:r>
      <w:r w:rsidR="00B94D02">
        <w:t>14,24</w:t>
      </w:r>
      <w:r w:rsidR="005E2EDB" w:rsidRPr="009173A8">
        <w:t xml:space="preserve"> M€ abondés depuis l</w:t>
      </w:r>
      <w:r w:rsidR="0036296E">
        <w:t>’excédent d’exploitation de 20</w:t>
      </w:r>
      <w:r w:rsidR="00DA4704">
        <w:t>2</w:t>
      </w:r>
      <w:r w:rsidR="00B94D02">
        <w:t>1</w:t>
      </w:r>
      <w:r w:rsidR="000B2A19">
        <w:t>,</w:t>
      </w:r>
      <w:r w:rsidR="000B2A19">
        <w:br/>
        <w:t>4,85 M€ de subventions</w:t>
      </w:r>
      <w:r w:rsidR="0036296E">
        <w:t xml:space="preserve"> </w:t>
      </w:r>
      <w:r w:rsidR="00B52DC1">
        <w:t xml:space="preserve">versées par l’AESN et la Société du Grand Paris </w:t>
      </w:r>
      <w:r w:rsidR="0036296E">
        <w:t xml:space="preserve">et </w:t>
      </w:r>
      <w:r w:rsidR="00B94D02">
        <w:t>2,52</w:t>
      </w:r>
      <w:r w:rsidR="00E64BD8">
        <w:t xml:space="preserve"> M€ au titre des emprunts contractés</w:t>
      </w:r>
      <w:r w:rsidR="005E2EDB" w:rsidRPr="009173A8">
        <w:t xml:space="preserve">). </w:t>
      </w:r>
      <w:r w:rsidR="00EB49DF" w:rsidRPr="009173A8">
        <w:t xml:space="preserve">S’agissant des recettes d’ordre, </w:t>
      </w:r>
      <w:r w:rsidR="00DA4704">
        <w:t>11,</w:t>
      </w:r>
      <w:r w:rsidR="00FF096C">
        <w:t>6</w:t>
      </w:r>
      <w:r w:rsidR="00B94D02">
        <w:t>0</w:t>
      </w:r>
      <w:r w:rsidR="00F83C64" w:rsidRPr="009173A8">
        <w:t xml:space="preserve"> M€ </w:t>
      </w:r>
      <w:r w:rsidR="005E2EDB" w:rsidRPr="009173A8">
        <w:t>ont été réalisés</w:t>
      </w:r>
      <w:r w:rsidR="009173A8" w:rsidRPr="009173A8">
        <w:t xml:space="preserve">, </w:t>
      </w:r>
      <w:r w:rsidR="005D7E0C" w:rsidRPr="009173A8">
        <w:t>au titre des</w:t>
      </w:r>
      <w:r w:rsidR="00F83C64" w:rsidRPr="009173A8">
        <w:t xml:space="preserve"> amortissements des immobilisations</w:t>
      </w:r>
      <w:r w:rsidR="00573F44">
        <w:t xml:space="preserve"> </w:t>
      </w:r>
      <w:r w:rsidR="00FF096C">
        <w:t>dont</w:t>
      </w:r>
      <w:bookmarkStart w:id="0" w:name="_GoBack"/>
      <w:bookmarkEnd w:id="0"/>
      <w:r w:rsidR="00573F44">
        <w:t xml:space="preserve"> 0,49</w:t>
      </w:r>
      <w:r w:rsidR="003C1D77">
        <w:t xml:space="preserve"> </w:t>
      </w:r>
      <w:r w:rsidR="00573F44">
        <w:t>M€ en opérations patrimoniales</w:t>
      </w:r>
      <w:r w:rsidR="002E4A91">
        <w:t>.</w:t>
      </w:r>
    </w:p>
    <w:p w14:paraId="02060C46" w14:textId="77777777" w:rsidR="00EB49DF" w:rsidRDefault="008A0E64" w:rsidP="00EB49DF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>
        <w:lastRenderedPageBreak/>
        <w:t xml:space="preserve">Résultat global de clôture </w:t>
      </w:r>
    </w:p>
    <w:p w14:paraId="3D1177DA" w14:textId="7E9191B9" w:rsidR="00F10154" w:rsidRDefault="00EB49DF" w:rsidP="00EB49DF">
      <w:pPr>
        <w:pStyle w:val="Sansinterligne"/>
      </w:pPr>
      <w:r>
        <w:t>D</w:t>
      </w:r>
      <w:r w:rsidR="00302F56">
        <w:t>e manière synthétique,</w:t>
      </w:r>
      <w:r w:rsidR="00F10154" w:rsidRPr="00272EF8">
        <w:t xml:space="preserve"> </w:t>
      </w:r>
      <w:r w:rsidR="00FE16F7">
        <w:t>les résultats de l’exercice 202</w:t>
      </w:r>
      <w:r w:rsidR="00FC187E">
        <w:t>2</w:t>
      </w:r>
      <w:r w:rsidR="008A0E64">
        <w:t xml:space="preserve"> sont les suivants :</w:t>
      </w:r>
    </w:p>
    <w:p w14:paraId="622FB64B" w14:textId="77777777" w:rsidR="00F83C64" w:rsidRDefault="00F83C64" w:rsidP="00EB49DF">
      <w:pPr>
        <w:pStyle w:val="Sansinterligne"/>
      </w:pPr>
    </w:p>
    <w:tbl>
      <w:tblPr>
        <w:tblpPr w:leftFromText="141" w:rightFromText="141" w:vertAnchor="page" w:horzAnchor="margin" w:tblpXSpec="center" w:tblpY="2130"/>
        <w:tblW w:w="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6"/>
        <w:gridCol w:w="1724"/>
      </w:tblGrid>
      <w:tr w:rsidR="007D7455" w:rsidRPr="00272EF8" w14:paraId="2580AB74" w14:textId="77777777" w:rsidTr="007D7455">
        <w:trPr>
          <w:trHeight w:val="345"/>
        </w:trPr>
        <w:tc>
          <w:tcPr>
            <w:tcW w:w="55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CE6F1"/>
            <w:noWrap/>
            <w:vAlign w:val="bottom"/>
            <w:hideMark/>
          </w:tcPr>
          <w:p w14:paraId="5B7152C1" w14:textId="77777777" w:rsidR="007D7455" w:rsidRPr="00272EF8" w:rsidRDefault="007D7455" w:rsidP="007D7455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 w:rsidRPr="00272EF8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Section d’</w:t>
            </w:r>
            <w:r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exploitation</w:t>
            </w:r>
          </w:p>
        </w:tc>
      </w:tr>
      <w:tr w:rsidR="007D7455" w:rsidRPr="00272EF8" w14:paraId="52A9A5C8" w14:textId="77777777" w:rsidTr="007D7455">
        <w:trPr>
          <w:trHeight w:val="330"/>
        </w:trPr>
        <w:tc>
          <w:tcPr>
            <w:tcW w:w="37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45D9" w14:textId="337F2BBA" w:rsidR="007D7455" w:rsidRPr="00272EF8" w:rsidRDefault="007D7455" w:rsidP="00FC187E">
            <w:pPr>
              <w:jc w:val="left"/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 w:rsidRPr="00272EF8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 xml:space="preserve">Dépenses </w:t>
            </w:r>
            <w:r w:rsidR="00FE16F7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de l’exercice 202</w:t>
            </w:r>
            <w:r w:rsidR="00FC187E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40A8553" w14:textId="2C124AB4" w:rsidR="007D7455" w:rsidRPr="00272EF8" w:rsidRDefault="00FC187E" w:rsidP="007D7455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15 960 577,07</w:t>
            </w:r>
          </w:p>
        </w:tc>
      </w:tr>
      <w:tr w:rsidR="007D7455" w:rsidRPr="00272EF8" w14:paraId="652139A6" w14:textId="77777777" w:rsidTr="007D7455">
        <w:trPr>
          <w:trHeight w:val="315"/>
        </w:trPr>
        <w:tc>
          <w:tcPr>
            <w:tcW w:w="37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9C166" w14:textId="554F48DB" w:rsidR="007D7455" w:rsidRPr="00272EF8" w:rsidRDefault="007D7455" w:rsidP="00FC187E">
            <w:pPr>
              <w:jc w:val="left"/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 w:rsidRPr="00272EF8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 xml:space="preserve">Recettes </w:t>
            </w:r>
            <w:r w:rsidR="00FE16F7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de l’exercice 202</w:t>
            </w:r>
            <w:r w:rsidR="00FC187E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58D346F" w14:textId="5A1A682F" w:rsidR="007D7455" w:rsidRPr="00272EF8" w:rsidRDefault="00FC187E" w:rsidP="007D7455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31 052 922,40</w:t>
            </w:r>
          </w:p>
        </w:tc>
      </w:tr>
      <w:tr w:rsidR="007D7455" w:rsidRPr="00272EF8" w14:paraId="7E59E432" w14:textId="77777777" w:rsidTr="007D7455">
        <w:trPr>
          <w:trHeight w:val="315"/>
        </w:trPr>
        <w:tc>
          <w:tcPr>
            <w:tcW w:w="37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D7F67" w14:textId="77777777" w:rsidR="007D7455" w:rsidRPr="00272EF8" w:rsidRDefault="00CB0442" w:rsidP="007D7455">
            <w:pPr>
              <w:jc w:val="left"/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Excédent</w:t>
            </w:r>
            <w:r w:rsidR="007D7455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 xml:space="preserve"> reporté de l’exercice antérieur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8FD740E" w14:textId="589A220A" w:rsidR="007D7455" w:rsidRDefault="00FE16F7" w:rsidP="00FC187E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 xml:space="preserve"> </w:t>
            </w:r>
            <w:r w:rsidR="00FC187E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0</w:t>
            </w:r>
          </w:p>
        </w:tc>
      </w:tr>
      <w:tr w:rsidR="007D7455" w:rsidRPr="006D5347" w14:paraId="78629CD3" w14:textId="77777777" w:rsidTr="007D7455">
        <w:trPr>
          <w:trHeight w:val="315"/>
        </w:trPr>
        <w:tc>
          <w:tcPr>
            <w:tcW w:w="379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9944B52" w14:textId="4F40AA07" w:rsidR="007D7455" w:rsidRPr="008A0E64" w:rsidRDefault="007D7455" w:rsidP="00FC187E">
            <w:pPr>
              <w:jc w:val="left"/>
              <w:rPr>
                <w:rFonts w:ascii="Calibri" w:eastAsia="Times New Roman" w:hAnsi="Calibri"/>
                <w:b/>
                <w:color w:val="000000"/>
                <w:szCs w:val="24"/>
                <w:lang w:eastAsia="zh-CN"/>
              </w:rPr>
            </w:pPr>
            <w:r w:rsidRPr="008A0E64">
              <w:rPr>
                <w:rFonts w:ascii="Calibri" w:eastAsia="Times New Roman" w:hAnsi="Calibri"/>
                <w:b/>
                <w:color w:val="000000"/>
                <w:szCs w:val="24"/>
                <w:lang w:eastAsia="zh-CN"/>
              </w:rPr>
              <w:t xml:space="preserve">Résultat cumulé de </w:t>
            </w:r>
            <w:r w:rsidR="00FE16F7">
              <w:rPr>
                <w:rFonts w:ascii="Calibri" w:eastAsia="Times New Roman" w:hAnsi="Calibri"/>
                <w:b/>
                <w:color w:val="000000"/>
                <w:szCs w:val="24"/>
                <w:lang w:eastAsia="zh-CN"/>
              </w:rPr>
              <w:t>l’exercice 202</w:t>
            </w:r>
            <w:r w:rsidR="00FC187E">
              <w:rPr>
                <w:rFonts w:ascii="Calibri" w:eastAsia="Times New Roman" w:hAnsi="Calibri"/>
                <w:b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91A7E0E" w14:textId="3259B18C" w:rsidR="007D7455" w:rsidRPr="008A0E64" w:rsidRDefault="00FC187E" w:rsidP="007D7455">
            <w:pPr>
              <w:jc w:val="center"/>
              <w:rPr>
                <w:rFonts w:ascii="Calibri" w:eastAsia="Times New Roman" w:hAnsi="Calibri"/>
                <w:b/>
                <w:color w:val="000000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b/>
                <w:color w:val="000000"/>
                <w:szCs w:val="24"/>
                <w:lang w:eastAsia="zh-CN"/>
              </w:rPr>
              <w:t>15 092 345,33</w:t>
            </w:r>
          </w:p>
        </w:tc>
      </w:tr>
    </w:tbl>
    <w:p w14:paraId="7A273E43" w14:textId="77777777" w:rsidR="00EB49DF" w:rsidRPr="00272EF8" w:rsidRDefault="00EB49DF" w:rsidP="00EB49DF">
      <w:pPr>
        <w:pStyle w:val="Sansinterligne"/>
      </w:pPr>
    </w:p>
    <w:p w14:paraId="4E8C9B08" w14:textId="77777777" w:rsidR="00F83C64" w:rsidRDefault="00F83C64" w:rsidP="007D7455"/>
    <w:p w14:paraId="03246424" w14:textId="77777777" w:rsidR="00F83C64" w:rsidRDefault="00F83C64" w:rsidP="002D0EC1">
      <w:pPr>
        <w:jc w:val="center"/>
      </w:pPr>
    </w:p>
    <w:p w14:paraId="26227193" w14:textId="77777777" w:rsidR="00F83C64" w:rsidRDefault="00F83C64" w:rsidP="002D0EC1">
      <w:pPr>
        <w:jc w:val="center"/>
      </w:pPr>
    </w:p>
    <w:p w14:paraId="126BEC99" w14:textId="77777777" w:rsidR="00F83C64" w:rsidRDefault="00F83C64" w:rsidP="002D0EC1">
      <w:pPr>
        <w:jc w:val="center"/>
      </w:pPr>
    </w:p>
    <w:p w14:paraId="51606C0B" w14:textId="77777777" w:rsidR="00F83C64" w:rsidRDefault="00F83C64" w:rsidP="002D0EC1">
      <w:pPr>
        <w:jc w:val="center"/>
      </w:pPr>
    </w:p>
    <w:p w14:paraId="7B1DC041" w14:textId="77777777" w:rsidR="007D7455" w:rsidRDefault="007D7455" w:rsidP="002D0EC1">
      <w:pPr>
        <w:jc w:val="center"/>
      </w:pPr>
    </w:p>
    <w:tbl>
      <w:tblPr>
        <w:tblpPr w:leftFromText="141" w:rightFromText="141" w:vertAnchor="text" w:horzAnchor="margin" w:tblpXSpec="center" w:tblpY="157"/>
        <w:tblW w:w="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1726"/>
      </w:tblGrid>
      <w:tr w:rsidR="007D7455" w14:paraId="30BE6D86" w14:textId="77777777" w:rsidTr="00823F0A">
        <w:trPr>
          <w:trHeight w:val="345"/>
        </w:trPr>
        <w:tc>
          <w:tcPr>
            <w:tcW w:w="55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CE6F1"/>
            <w:noWrap/>
            <w:vAlign w:val="center"/>
            <w:hideMark/>
          </w:tcPr>
          <w:p w14:paraId="3F656AC9" w14:textId="77777777" w:rsidR="007D7455" w:rsidRDefault="007D7455" w:rsidP="00823F0A">
            <w:pPr>
              <w:jc w:val="center"/>
              <w:rPr>
                <w:rFonts w:ascii="Calibri" w:hAnsi="Calibri"/>
                <w:color w:val="00000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Section d’investissement</w:t>
            </w:r>
          </w:p>
        </w:tc>
      </w:tr>
      <w:tr w:rsidR="007D7455" w14:paraId="6225BDCE" w14:textId="77777777" w:rsidTr="00823F0A">
        <w:trPr>
          <w:trHeight w:val="330"/>
        </w:trPr>
        <w:tc>
          <w:tcPr>
            <w:tcW w:w="37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C729E" w14:textId="2FD86350" w:rsidR="007D7455" w:rsidRPr="00272EF8" w:rsidRDefault="007D7455" w:rsidP="00FC187E">
            <w:pPr>
              <w:jc w:val="left"/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 w:rsidRPr="00272EF8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 xml:space="preserve">Dépenses </w:t>
            </w:r>
            <w:r w:rsidR="00FE16F7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de l’exercice 202</w:t>
            </w:r>
            <w:r w:rsidR="00FC187E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545CF13" w14:textId="08145529" w:rsidR="007D7455" w:rsidRDefault="00FC187E" w:rsidP="00823F0A">
            <w:pPr>
              <w:jc w:val="center"/>
              <w:rPr>
                <w:rFonts w:ascii="Calibri" w:hAnsi="Calibri"/>
                <w:color w:val="00000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szCs w:val="24"/>
                <w:lang w:eastAsia="zh-CN"/>
              </w:rPr>
              <w:t>28 731 487,16</w:t>
            </w:r>
          </w:p>
        </w:tc>
      </w:tr>
      <w:tr w:rsidR="007D7455" w14:paraId="3763E0C5" w14:textId="77777777" w:rsidTr="00CB0465">
        <w:trPr>
          <w:trHeight w:val="315"/>
        </w:trPr>
        <w:tc>
          <w:tcPr>
            <w:tcW w:w="37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F60A0" w14:textId="139DAB5F" w:rsidR="007D7455" w:rsidRDefault="00FE16F7" w:rsidP="00CB0465">
            <w:pPr>
              <w:jc w:val="left"/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Recettes de l’exercice 202</w:t>
            </w:r>
            <w:r w:rsidR="00FC187E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2</w:t>
            </w:r>
          </w:p>
          <w:p w14:paraId="665ABD54" w14:textId="30A73DD1" w:rsidR="00CB0465" w:rsidRPr="00CB0465" w:rsidRDefault="00CB0465" w:rsidP="00FC187E">
            <w:pPr>
              <w:jc w:val="left"/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eastAsia="zh-CN"/>
              </w:rPr>
            </w:pPr>
            <w:r w:rsidRPr="00CB0465"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eastAsia="zh-CN"/>
              </w:rPr>
              <w:t>dont compte de réserve 1068</w:t>
            </w:r>
            <w:r w:rsidR="002C7319"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eastAsia="zh-CN"/>
              </w:rPr>
              <w:t xml:space="preserve"> (résultat de l’exercice 202</w:t>
            </w:r>
            <w:r w:rsidR="00FC187E"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</w:tcPr>
          <w:p w14:paraId="421E2C3D" w14:textId="4EFAFB40" w:rsidR="007D7455" w:rsidRDefault="00FC187E" w:rsidP="00CB0465">
            <w:pPr>
              <w:jc w:val="center"/>
              <w:rPr>
                <w:rFonts w:ascii="Calibri" w:hAnsi="Calibri"/>
                <w:color w:val="00000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szCs w:val="24"/>
                <w:lang w:eastAsia="zh-CN"/>
              </w:rPr>
              <w:t>33 212 376,02</w:t>
            </w:r>
          </w:p>
          <w:p w14:paraId="1A93E925" w14:textId="59DF1A63" w:rsidR="00CB0465" w:rsidRPr="00CB0465" w:rsidRDefault="00FC187E" w:rsidP="00CB0465">
            <w:pPr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eastAsia="zh-CN"/>
              </w:rPr>
              <w:t>14 239 931,88</w:t>
            </w:r>
          </w:p>
        </w:tc>
      </w:tr>
      <w:tr w:rsidR="007D7455" w14:paraId="495C1EAC" w14:textId="77777777" w:rsidTr="00823F0A">
        <w:trPr>
          <w:trHeight w:val="315"/>
        </w:trPr>
        <w:tc>
          <w:tcPr>
            <w:tcW w:w="37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2C57A" w14:textId="77777777" w:rsidR="007D7455" w:rsidRDefault="00D41364" w:rsidP="00823F0A">
            <w:pPr>
              <w:jc w:val="left"/>
              <w:rPr>
                <w:rFonts w:ascii="Calibri" w:eastAsia="Times New Roman" w:hAnsi="Calibri"/>
                <w:color w:val="000000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>Déficit</w:t>
            </w:r>
            <w:r w:rsidR="007D7455">
              <w:rPr>
                <w:rFonts w:ascii="Calibri" w:eastAsia="Times New Roman" w:hAnsi="Calibri"/>
                <w:color w:val="000000"/>
                <w:szCs w:val="24"/>
                <w:lang w:eastAsia="zh-CN"/>
              </w:rPr>
              <w:t xml:space="preserve"> reporté de l’exercice antérieur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E4E9FFB" w14:textId="52C07FC7" w:rsidR="007D7455" w:rsidRDefault="009A158D" w:rsidP="00FC187E">
            <w:pPr>
              <w:jc w:val="center"/>
              <w:rPr>
                <w:rFonts w:ascii="Calibri" w:hAnsi="Calibri"/>
                <w:color w:val="00000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szCs w:val="24"/>
                <w:lang w:eastAsia="zh-CN"/>
              </w:rPr>
              <w:t>-</w:t>
            </w:r>
            <w:r w:rsidR="00FC187E">
              <w:rPr>
                <w:rFonts w:ascii="Calibri" w:hAnsi="Calibri"/>
                <w:color w:val="000000"/>
                <w:szCs w:val="24"/>
                <w:lang w:eastAsia="zh-CN"/>
              </w:rPr>
              <w:t>11 718 930,77</w:t>
            </w:r>
          </w:p>
        </w:tc>
      </w:tr>
      <w:tr w:rsidR="007D7455" w14:paraId="3972B3B5" w14:textId="77777777" w:rsidTr="00823F0A">
        <w:trPr>
          <w:trHeight w:val="315"/>
        </w:trPr>
        <w:tc>
          <w:tcPr>
            <w:tcW w:w="379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E11990E" w14:textId="4C5FE7F0" w:rsidR="007D7455" w:rsidRPr="008A0E64" w:rsidRDefault="007D7455" w:rsidP="00FC187E">
            <w:pPr>
              <w:jc w:val="left"/>
              <w:rPr>
                <w:rFonts w:ascii="Calibri" w:eastAsia="Times New Roman" w:hAnsi="Calibri"/>
                <w:b/>
                <w:color w:val="000000"/>
                <w:szCs w:val="24"/>
                <w:lang w:eastAsia="zh-CN"/>
              </w:rPr>
            </w:pPr>
            <w:r w:rsidRPr="008A0E64">
              <w:rPr>
                <w:rFonts w:ascii="Calibri" w:eastAsia="Times New Roman" w:hAnsi="Calibri"/>
                <w:b/>
                <w:color w:val="000000"/>
                <w:szCs w:val="24"/>
                <w:lang w:eastAsia="zh-CN"/>
              </w:rPr>
              <w:t>R</w:t>
            </w:r>
            <w:r w:rsidR="00FE16F7">
              <w:rPr>
                <w:rFonts w:ascii="Calibri" w:eastAsia="Times New Roman" w:hAnsi="Calibri"/>
                <w:b/>
                <w:color w:val="000000"/>
                <w:szCs w:val="24"/>
                <w:lang w:eastAsia="zh-CN"/>
              </w:rPr>
              <w:t>ésultat cumulé de l’exercice 202</w:t>
            </w:r>
            <w:r w:rsidR="00FC187E">
              <w:rPr>
                <w:rFonts w:ascii="Calibri" w:eastAsia="Times New Roman" w:hAnsi="Calibri"/>
                <w:b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34298F7E" w14:textId="0B106E70" w:rsidR="007D7455" w:rsidRPr="008A0E64" w:rsidRDefault="007D7455" w:rsidP="00FC187E">
            <w:pPr>
              <w:jc w:val="center"/>
              <w:rPr>
                <w:rFonts w:ascii="Calibri" w:hAnsi="Calibri"/>
                <w:b/>
                <w:color w:val="000000"/>
                <w:szCs w:val="24"/>
                <w:lang w:eastAsia="zh-CN"/>
              </w:rPr>
            </w:pPr>
            <w:r w:rsidRPr="008A0E64">
              <w:rPr>
                <w:rFonts w:ascii="Calibri" w:hAnsi="Calibri"/>
                <w:b/>
                <w:color w:val="000000"/>
                <w:szCs w:val="24"/>
                <w:lang w:eastAsia="zh-CN"/>
              </w:rPr>
              <w:t>-</w:t>
            </w:r>
            <w:r w:rsidR="00FC187E">
              <w:rPr>
                <w:rFonts w:ascii="Calibri" w:hAnsi="Calibri"/>
                <w:b/>
                <w:color w:val="000000"/>
                <w:szCs w:val="24"/>
                <w:lang w:eastAsia="zh-CN"/>
              </w:rPr>
              <w:t>7 238 041,91</w:t>
            </w:r>
          </w:p>
        </w:tc>
      </w:tr>
    </w:tbl>
    <w:p w14:paraId="006505EB" w14:textId="77777777" w:rsidR="007D7455" w:rsidRDefault="007D7455" w:rsidP="002D0EC1">
      <w:pPr>
        <w:jc w:val="center"/>
      </w:pPr>
    </w:p>
    <w:p w14:paraId="3EA0AFB5" w14:textId="77777777" w:rsidR="00F83C64" w:rsidRDefault="00F83C64" w:rsidP="002D0EC1">
      <w:pPr>
        <w:jc w:val="center"/>
      </w:pPr>
    </w:p>
    <w:p w14:paraId="35819A75" w14:textId="77777777" w:rsidR="00F83C64" w:rsidRDefault="00F83C64" w:rsidP="002D0EC1">
      <w:pPr>
        <w:jc w:val="center"/>
      </w:pPr>
    </w:p>
    <w:p w14:paraId="480F4B5A" w14:textId="77777777" w:rsidR="00D41364" w:rsidRDefault="00D41364" w:rsidP="002D0EC1">
      <w:pPr>
        <w:jc w:val="center"/>
      </w:pPr>
    </w:p>
    <w:p w14:paraId="0DCA952A" w14:textId="77777777" w:rsidR="00D41364" w:rsidRPr="00D41364" w:rsidRDefault="00D41364" w:rsidP="00D41364"/>
    <w:p w14:paraId="2FC91B17" w14:textId="77777777" w:rsidR="00D41364" w:rsidRPr="00D41364" w:rsidRDefault="00D41364" w:rsidP="00D41364"/>
    <w:p w14:paraId="642E51F1" w14:textId="69CB1D27" w:rsidR="00D41364" w:rsidRPr="00D41364" w:rsidRDefault="00D41364" w:rsidP="00D41364"/>
    <w:p w14:paraId="600A7612" w14:textId="1D1E3722" w:rsidR="00661BE7" w:rsidRDefault="00D41364" w:rsidP="00D41364">
      <w:pPr>
        <w:tabs>
          <w:tab w:val="left" w:pos="6030"/>
        </w:tabs>
      </w:pPr>
      <w:r>
        <w:tab/>
      </w:r>
    </w:p>
    <w:p w14:paraId="44BA541A" w14:textId="77777777" w:rsidR="00661BE7" w:rsidRPr="00661BE7" w:rsidRDefault="00661BE7" w:rsidP="00661BE7"/>
    <w:p w14:paraId="20E241A8" w14:textId="77777777" w:rsidR="00661BE7" w:rsidRPr="00661BE7" w:rsidRDefault="00661BE7" w:rsidP="00661BE7"/>
    <w:p w14:paraId="744898ED" w14:textId="77777777" w:rsidR="00661BE7" w:rsidRPr="00661BE7" w:rsidRDefault="00661BE7" w:rsidP="00661BE7"/>
    <w:p w14:paraId="7C1A6CA1" w14:textId="77777777" w:rsidR="00661BE7" w:rsidRPr="00661BE7" w:rsidRDefault="00661BE7" w:rsidP="00661BE7"/>
    <w:p w14:paraId="0251934B" w14:textId="77777777" w:rsidR="00661BE7" w:rsidRPr="00661BE7" w:rsidRDefault="00661BE7" w:rsidP="00661BE7"/>
    <w:p w14:paraId="39CEBD38" w14:textId="77777777" w:rsidR="00661BE7" w:rsidRPr="00661BE7" w:rsidRDefault="00661BE7" w:rsidP="00661BE7"/>
    <w:p w14:paraId="1D59F019" w14:textId="77777777" w:rsidR="00661BE7" w:rsidRPr="00661BE7" w:rsidRDefault="00661BE7" w:rsidP="00661BE7"/>
    <w:p w14:paraId="65BAB841" w14:textId="77777777" w:rsidR="00661BE7" w:rsidRPr="00661BE7" w:rsidRDefault="00661BE7" w:rsidP="00661BE7"/>
    <w:p w14:paraId="4FC1F4B5" w14:textId="77777777" w:rsidR="00661BE7" w:rsidRPr="00661BE7" w:rsidRDefault="00661BE7" w:rsidP="00661BE7"/>
    <w:p w14:paraId="43C0E541" w14:textId="77777777" w:rsidR="00661BE7" w:rsidRPr="00661BE7" w:rsidRDefault="00661BE7" w:rsidP="00661BE7"/>
    <w:p w14:paraId="41FFEA4C" w14:textId="77777777" w:rsidR="00661BE7" w:rsidRPr="00661BE7" w:rsidRDefault="00661BE7" w:rsidP="00661BE7"/>
    <w:p w14:paraId="2B35DB10" w14:textId="226DFFCE" w:rsidR="00F83C64" w:rsidRPr="00661BE7" w:rsidRDefault="00661BE7" w:rsidP="00661BE7">
      <w:pPr>
        <w:tabs>
          <w:tab w:val="left" w:pos="6813"/>
        </w:tabs>
      </w:pPr>
      <w:r>
        <w:tab/>
      </w:r>
    </w:p>
    <w:sectPr w:rsidR="00F83C64" w:rsidRPr="00661BE7" w:rsidSect="00D621F1">
      <w:footerReference w:type="default" r:id="rId9"/>
      <w:headerReference w:type="first" r:id="rId10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EFE7E" w14:textId="77777777" w:rsidR="003A394C" w:rsidRDefault="003A394C" w:rsidP="00B34702">
      <w:pPr>
        <w:spacing w:after="0" w:line="240" w:lineRule="auto"/>
      </w:pPr>
      <w:r>
        <w:separator/>
      </w:r>
    </w:p>
  </w:endnote>
  <w:endnote w:type="continuationSeparator" w:id="0">
    <w:p w14:paraId="26A9788E" w14:textId="77777777" w:rsidR="003A394C" w:rsidRDefault="003A394C" w:rsidP="00B3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60736" w14:textId="77777777" w:rsidR="001410E2" w:rsidRDefault="001410E2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0DC3E0" wp14:editId="2C205519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resse"/>
                              <w:id w:val="281162324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3B43DBD0" w14:textId="1931D393" w:rsidR="001410E2" w:rsidRDefault="001410E2">
                                <w:pPr>
                                  <w:pStyle w:val="Pieddepage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Présentation synthétique </w:t>
                                </w:r>
                                <w:r w:rsidR="00B8260D">
                                  <w:rPr>
                                    <w:color w:val="FFFFFF" w:themeColor="background1"/>
                                    <w:spacing w:val="60"/>
                                  </w:rPr>
                                  <w:t>CA</w:t>
                                </w:r>
                                <w:r w:rsidR="00573F44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2022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– BAA</w:t>
                                </w:r>
                              </w:p>
                            </w:sdtContent>
                          </w:sdt>
                          <w:p w14:paraId="35548F88" w14:textId="77777777" w:rsidR="001410E2" w:rsidRDefault="001410E2">
                            <w:pPr>
                              <w:pStyle w:val="En-tte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539DA" w14:textId="01174BC5" w:rsidR="001410E2" w:rsidRDefault="001410E2">
                            <w:pPr>
                              <w:pStyle w:val="Pieddepag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FF096C" w:rsidRPr="00FF096C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0DC3E0" id="Groupe 156" o:spid="_x0000_s1026" style="position:absolute;left:0;text-align:left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" fillcolor="#8db3e2 [1311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resse"/>
                        <w:id w:val="281162324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3B43DBD0" w14:textId="1931D393" w:rsidR="001410E2" w:rsidRDefault="001410E2">
                          <w:pPr>
                            <w:pStyle w:val="Pieddepage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Présentation synthétique </w:t>
                          </w:r>
                          <w:r w:rsidR="00B8260D">
                            <w:rPr>
                              <w:color w:val="FFFFFF" w:themeColor="background1"/>
                              <w:spacing w:val="60"/>
                            </w:rPr>
                            <w:t>CA</w:t>
                          </w:r>
                          <w:r w:rsidR="00573F44">
                            <w:rPr>
                              <w:color w:val="FFFFFF" w:themeColor="background1"/>
                              <w:spacing w:val="60"/>
                            </w:rPr>
                            <w:t xml:space="preserve"> 2022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 – BAA</w:t>
                          </w:r>
                        </w:p>
                      </w:sdtContent>
                    </w:sdt>
                    <w:p w14:paraId="35548F88" w14:textId="77777777" w:rsidR="001410E2" w:rsidRDefault="001410E2">
                      <w:pPr>
                        <w:pStyle w:val="En-tt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" fillcolor="#8db3e2 [1311]" stroked="f">
                <v:textbox>
                  <w:txbxContent>
                    <w:p w14:paraId="62C539DA" w14:textId="01174BC5" w:rsidR="001410E2" w:rsidRDefault="001410E2">
                      <w:pPr>
                        <w:pStyle w:val="Pieddepag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FF096C" w:rsidRPr="00FF096C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E6F34" w14:textId="77777777" w:rsidR="003A394C" w:rsidRDefault="003A394C" w:rsidP="00B34702">
      <w:pPr>
        <w:spacing w:after="0" w:line="240" w:lineRule="auto"/>
      </w:pPr>
      <w:r>
        <w:separator/>
      </w:r>
    </w:p>
  </w:footnote>
  <w:footnote w:type="continuationSeparator" w:id="0">
    <w:p w14:paraId="3351DA1C" w14:textId="77777777" w:rsidR="003A394C" w:rsidRDefault="003A394C" w:rsidP="00B3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13D2E" w14:textId="6B4E2BF5" w:rsidR="001410E2" w:rsidRDefault="00093697" w:rsidP="007F30A0">
    <w:pPr>
      <w:pStyle w:val="En-tte"/>
      <w:ind w:left="-426"/>
    </w:pPr>
    <w:r>
      <w:rPr>
        <w:noProof/>
        <w:lang w:eastAsia="fr-FR"/>
      </w:rPr>
      <w:drawing>
        <wp:inline distT="0" distB="0" distL="0" distR="0" wp14:anchorId="5788D845" wp14:editId="07AF4DF4">
          <wp:extent cx="2438400" cy="70739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606"/>
    <w:multiLevelType w:val="hybridMultilevel"/>
    <w:tmpl w:val="7D8E566C"/>
    <w:lvl w:ilvl="0" w:tplc="FA5648FC">
      <w:start w:val="1"/>
      <w:numFmt w:val="bullet"/>
      <w:pStyle w:val="pucepu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645EA"/>
    <w:multiLevelType w:val="hybridMultilevel"/>
    <w:tmpl w:val="D23A7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3771F"/>
    <w:multiLevelType w:val="hybridMultilevel"/>
    <w:tmpl w:val="6F28C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5CE9"/>
    <w:multiLevelType w:val="hybridMultilevel"/>
    <w:tmpl w:val="31447710"/>
    <w:lvl w:ilvl="0" w:tplc="5B843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000000"/>
        <w:u w:val="none" w:color="FFFFFF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33A5"/>
    <w:multiLevelType w:val="hybridMultilevel"/>
    <w:tmpl w:val="4C7C83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5A4B93"/>
    <w:multiLevelType w:val="hybridMultilevel"/>
    <w:tmpl w:val="249CBFBC"/>
    <w:lvl w:ilvl="0" w:tplc="917E1BBE">
      <w:start w:val="1"/>
      <w:numFmt w:val="bullet"/>
      <w:pStyle w:val="tir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579CE"/>
    <w:multiLevelType w:val="hybridMultilevel"/>
    <w:tmpl w:val="E4A07068"/>
    <w:lvl w:ilvl="0" w:tplc="11041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B64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02"/>
    <w:rsid w:val="00050646"/>
    <w:rsid w:val="00050D18"/>
    <w:rsid w:val="000670E0"/>
    <w:rsid w:val="0009146B"/>
    <w:rsid w:val="00093697"/>
    <w:rsid w:val="000A1E84"/>
    <w:rsid w:val="000B2A19"/>
    <w:rsid w:val="000B5F2A"/>
    <w:rsid w:val="000E0BBB"/>
    <w:rsid w:val="00100CE3"/>
    <w:rsid w:val="00121397"/>
    <w:rsid w:val="001410E2"/>
    <w:rsid w:val="00175F2C"/>
    <w:rsid w:val="0018697B"/>
    <w:rsid w:val="001A251D"/>
    <w:rsid w:val="001C020F"/>
    <w:rsid w:val="00211902"/>
    <w:rsid w:val="00225E91"/>
    <w:rsid w:val="002545B1"/>
    <w:rsid w:val="0026011D"/>
    <w:rsid w:val="002C71EB"/>
    <w:rsid w:val="002C7319"/>
    <w:rsid w:val="002D0EC1"/>
    <w:rsid w:val="002E4A91"/>
    <w:rsid w:val="00300B69"/>
    <w:rsid w:val="00302F56"/>
    <w:rsid w:val="00346DBB"/>
    <w:rsid w:val="0036296E"/>
    <w:rsid w:val="00380F25"/>
    <w:rsid w:val="003A2AD5"/>
    <w:rsid w:val="003A394C"/>
    <w:rsid w:val="003B0286"/>
    <w:rsid w:val="003C1D77"/>
    <w:rsid w:val="003D53E0"/>
    <w:rsid w:val="00445959"/>
    <w:rsid w:val="0048766F"/>
    <w:rsid w:val="00490434"/>
    <w:rsid w:val="004A349E"/>
    <w:rsid w:val="004A698F"/>
    <w:rsid w:val="004D0A06"/>
    <w:rsid w:val="004D4BB3"/>
    <w:rsid w:val="004D553D"/>
    <w:rsid w:val="004E4E40"/>
    <w:rsid w:val="004F0906"/>
    <w:rsid w:val="005174DC"/>
    <w:rsid w:val="00573F44"/>
    <w:rsid w:val="005801C3"/>
    <w:rsid w:val="005D7E0C"/>
    <w:rsid w:val="005E046B"/>
    <w:rsid w:val="005E2EDB"/>
    <w:rsid w:val="00604583"/>
    <w:rsid w:val="00623BFA"/>
    <w:rsid w:val="00630490"/>
    <w:rsid w:val="006350E2"/>
    <w:rsid w:val="006360FD"/>
    <w:rsid w:val="00661BE7"/>
    <w:rsid w:val="006B50C7"/>
    <w:rsid w:val="006D5347"/>
    <w:rsid w:val="00711072"/>
    <w:rsid w:val="00740742"/>
    <w:rsid w:val="00793FD4"/>
    <w:rsid w:val="007D1A26"/>
    <w:rsid w:val="007D7455"/>
    <w:rsid w:val="007F141C"/>
    <w:rsid w:val="007F30A0"/>
    <w:rsid w:val="00880BE6"/>
    <w:rsid w:val="008850D7"/>
    <w:rsid w:val="00892224"/>
    <w:rsid w:val="008A0E64"/>
    <w:rsid w:val="008A6C99"/>
    <w:rsid w:val="008C0AE2"/>
    <w:rsid w:val="008C430A"/>
    <w:rsid w:val="008D14C6"/>
    <w:rsid w:val="008D4A5D"/>
    <w:rsid w:val="008E3F56"/>
    <w:rsid w:val="008F3459"/>
    <w:rsid w:val="009173A8"/>
    <w:rsid w:val="0098590C"/>
    <w:rsid w:val="009A158D"/>
    <w:rsid w:val="009A1743"/>
    <w:rsid w:val="009A326E"/>
    <w:rsid w:val="009C5A53"/>
    <w:rsid w:val="009C7C1B"/>
    <w:rsid w:val="00A42923"/>
    <w:rsid w:val="00A71879"/>
    <w:rsid w:val="00A71CD6"/>
    <w:rsid w:val="00A73026"/>
    <w:rsid w:val="00A94466"/>
    <w:rsid w:val="00A96639"/>
    <w:rsid w:val="00AB76D7"/>
    <w:rsid w:val="00AF7288"/>
    <w:rsid w:val="00B15AB4"/>
    <w:rsid w:val="00B17903"/>
    <w:rsid w:val="00B34702"/>
    <w:rsid w:val="00B52DC1"/>
    <w:rsid w:val="00B5741C"/>
    <w:rsid w:val="00B8260D"/>
    <w:rsid w:val="00B94D02"/>
    <w:rsid w:val="00BB413A"/>
    <w:rsid w:val="00BD18A2"/>
    <w:rsid w:val="00C37C65"/>
    <w:rsid w:val="00C37C97"/>
    <w:rsid w:val="00C701C8"/>
    <w:rsid w:val="00C77C5E"/>
    <w:rsid w:val="00C96C33"/>
    <w:rsid w:val="00CB0442"/>
    <w:rsid w:val="00CB0465"/>
    <w:rsid w:val="00CD26C1"/>
    <w:rsid w:val="00D0112F"/>
    <w:rsid w:val="00D3589C"/>
    <w:rsid w:val="00D41364"/>
    <w:rsid w:val="00D612FB"/>
    <w:rsid w:val="00D621F1"/>
    <w:rsid w:val="00D647BC"/>
    <w:rsid w:val="00D82F00"/>
    <w:rsid w:val="00DA4704"/>
    <w:rsid w:val="00E021CE"/>
    <w:rsid w:val="00E36657"/>
    <w:rsid w:val="00E64BD8"/>
    <w:rsid w:val="00E851CB"/>
    <w:rsid w:val="00EB49DF"/>
    <w:rsid w:val="00ED18DF"/>
    <w:rsid w:val="00ED2462"/>
    <w:rsid w:val="00EE13BD"/>
    <w:rsid w:val="00EF6BCD"/>
    <w:rsid w:val="00F10154"/>
    <w:rsid w:val="00F26ABD"/>
    <w:rsid w:val="00F62C02"/>
    <w:rsid w:val="00F74496"/>
    <w:rsid w:val="00F75534"/>
    <w:rsid w:val="00F83C64"/>
    <w:rsid w:val="00F9371F"/>
    <w:rsid w:val="00FA1014"/>
    <w:rsid w:val="00FC187E"/>
    <w:rsid w:val="00FD34A5"/>
    <w:rsid w:val="00FE16F7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E76C58"/>
  <w15:docId w15:val="{2072B748-941B-4964-849B-0023AE9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E40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3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70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3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347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3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3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B3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702"/>
  </w:style>
  <w:style w:type="paragraph" w:styleId="Pieddepage">
    <w:name w:val="footer"/>
    <w:basedOn w:val="Normal"/>
    <w:link w:val="PieddepageCar"/>
    <w:uiPriority w:val="99"/>
    <w:unhideWhenUsed/>
    <w:rsid w:val="00B3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702"/>
  </w:style>
  <w:style w:type="character" w:styleId="Marquedecommentaire">
    <w:name w:val="annotation reference"/>
    <w:basedOn w:val="Policepardfaut"/>
    <w:uiPriority w:val="99"/>
    <w:semiHidden/>
    <w:unhideWhenUsed/>
    <w:rsid w:val="007F30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0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0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0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0A0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C37C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37C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rCarCarCarCar">
    <w:name w:val="Car Car Car Car Car"/>
    <w:basedOn w:val="Normal"/>
    <w:rsid w:val="00C37C6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C701C8"/>
    <w:pPr>
      <w:ind w:left="720"/>
      <w:contextualSpacing/>
    </w:pPr>
  </w:style>
  <w:style w:type="character" w:customStyle="1" w:styleId="CorpsdetexteCar1">
    <w:name w:val="Corps de texte Car1"/>
    <w:uiPriority w:val="99"/>
    <w:semiHidden/>
    <w:rsid w:val="00F10154"/>
    <w:rPr>
      <w:rFonts w:ascii="Times New Roman" w:eastAsia="Times New Roman" w:hAnsi="Times New Roman"/>
      <w:sz w:val="24"/>
      <w:szCs w:val="24"/>
    </w:rPr>
  </w:style>
  <w:style w:type="paragraph" w:customStyle="1" w:styleId="tiret">
    <w:name w:val="tiret"/>
    <w:basedOn w:val="Normal"/>
    <w:rsid w:val="00623BFA"/>
    <w:pPr>
      <w:numPr>
        <w:numId w:val="4"/>
      </w:numPr>
    </w:pPr>
  </w:style>
  <w:style w:type="paragraph" w:customStyle="1" w:styleId="pucepuce">
    <w:name w:val="puce puce"/>
    <w:basedOn w:val="Normal"/>
    <w:qFormat/>
    <w:rsid w:val="00623BFA"/>
    <w:pPr>
      <w:numPr>
        <w:numId w:val="6"/>
      </w:numPr>
      <w:tabs>
        <w:tab w:val="left" w:pos="-360"/>
        <w:tab w:val="left" w:pos="0"/>
      </w:tabs>
      <w:suppressAutoHyphens/>
      <w:autoSpaceDE w:val="0"/>
      <w:spacing w:before="120" w:after="120" w:line="240" w:lineRule="auto"/>
      <w:ind w:left="2154" w:hanging="357"/>
    </w:pPr>
    <w:rPr>
      <w:rFonts w:ascii="Arial" w:eastAsia="Calibri" w:hAnsi="Arial" w:cs="Arial"/>
      <w:sz w:val="24"/>
    </w:rPr>
  </w:style>
  <w:style w:type="table" w:styleId="Grilledutableau">
    <w:name w:val="Table Grid"/>
    <w:basedOn w:val="TableauNormal"/>
    <w:uiPriority w:val="59"/>
    <w:rsid w:val="004F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B49DF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Présentation synthétique CA 2022 – BAA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026F33-478D-4B9B-95C1-065F0DB1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DUPONT Fabien - PRHF/DF/SDG</dc:creator>
  <cp:lastModifiedBy>DESWEZ Ghislaine - PFCPL/DFCG/SDG</cp:lastModifiedBy>
  <cp:revision>22</cp:revision>
  <cp:lastPrinted>2016-04-14T08:11:00Z</cp:lastPrinted>
  <dcterms:created xsi:type="dcterms:W3CDTF">2022-02-10T15:11:00Z</dcterms:created>
  <dcterms:modified xsi:type="dcterms:W3CDTF">2023-03-10T15:07:00Z</dcterms:modified>
</cp:coreProperties>
</file>