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02" w:rsidRPr="00291B15" w:rsidRDefault="00955E25" w:rsidP="00B34702">
      <w:pPr>
        <w:pStyle w:val="Titre"/>
        <w:rPr>
          <w:b/>
        </w:rPr>
      </w:pPr>
      <w:r>
        <w:rPr>
          <w:b/>
        </w:rPr>
        <w:t>Budget primitif 2023</w:t>
      </w:r>
      <w:r w:rsidR="00B34702" w:rsidRPr="001F2EA3">
        <w:rPr>
          <w:b/>
          <w:sz w:val="28"/>
          <w:szCs w:val="28"/>
        </w:rPr>
        <w:t xml:space="preserve"> – budget départemental</w:t>
      </w:r>
    </w:p>
    <w:p w:rsidR="00B34702" w:rsidRPr="00291B15" w:rsidRDefault="00B34702" w:rsidP="00B34702">
      <w:pPr>
        <w:pStyle w:val="Titre"/>
        <w:rPr>
          <w:b/>
        </w:rPr>
      </w:pPr>
      <w:r w:rsidRPr="00291B15">
        <w:rPr>
          <w:b/>
        </w:rPr>
        <w:t>Présentation synthétique</w:t>
      </w:r>
    </w:p>
    <w:p w:rsidR="000572AB" w:rsidRDefault="00B34702" w:rsidP="002C71EB">
      <w:pPr>
        <w:spacing w:after="0"/>
        <w:jc w:val="both"/>
        <w:rPr>
          <w:noProof/>
          <w:lang w:eastAsia="fr-FR"/>
        </w:rPr>
      </w:pPr>
      <w:r>
        <w:t>Le budget primitif 20</w:t>
      </w:r>
      <w:r w:rsidR="00955E25">
        <w:t>23</w:t>
      </w:r>
      <w:r>
        <w:t xml:space="preserve"> s’élève </w:t>
      </w:r>
      <w:r w:rsidRPr="0088497C">
        <w:t>à</w:t>
      </w:r>
      <w:r w:rsidR="00757140" w:rsidRPr="0088497C">
        <w:t xml:space="preserve"> </w:t>
      </w:r>
      <w:r w:rsidR="00FE44D3" w:rsidRPr="0088497C">
        <w:rPr>
          <w:b/>
        </w:rPr>
        <w:t>2</w:t>
      </w:r>
      <w:r w:rsidR="00863411">
        <w:rPr>
          <w:b/>
        </w:rPr>
        <w:t>,</w:t>
      </w:r>
      <w:r w:rsidR="0018062A">
        <w:rPr>
          <w:b/>
        </w:rPr>
        <w:t>38</w:t>
      </w:r>
      <w:r w:rsidRPr="0088497C">
        <w:rPr>
          <w:b/>
        </w:rPr>
        <w:t xml:space="preserve"> </w:t>
      </w:r>
      <w:r w:rsidR="00427FC4">
        <w:rPr>
          <w:b/>
        </w:rPr>
        <w:t>Md€</w:t>
      </w:r>
      <w:r>
        <w:t xml:space="preserve"> </w:t>
      </w:r>
      <w:r w:rsidRPr="00032590">
        <w:rPr>
          <w:i/>
        </w:rPr>
        <w:t>(</w:t>
      </w:r>
      <w:r w:rsidR="00032590" w:rsidRPr="00032590">
        <w:rPr>
          <w:i/>
        </w:rPr>
        <w:t xml:space="preserve">dépenses réelles, </w:t>
      </w:r>
      <w:r w:rsidRPr="00032590">
        <w:rPr>
          <w:i/>
        </w:rPr>
        <w:t>hors dette</w:t>
      </w:r>
      <w:r w:rsidR="00863411">
        <w:rPr>
          <w:i/>
        </w:rPr>
        <w:t>, hors provisions</w:t>
      </w:r>
      <w:r w:rsidRPr="00032590">
        <w:rPr>
          <w:i/>
        </w:rPr>
        <w:t xml:space="preserve"> et hors péréquation au titre du fonds national de garantie individuelle des ressources – FNGIR)</w:t>
      </w:r>
      <w:r>
        <w:t>.</w:t>
      </w:r>
      <w:r w:rsidR="00667223" w:rsidRPr="00667223">
        <w:rPr>
          <w:noProof/>
          <w:lang w:eastAsia="fr-FR"/>
        </w:rPr>
        <w:t xml:space="preserve"> </w:t>
      </w:r>
    </w:p>
    <w:p w:rsidR="000572AB" w:rsidRDefault="0018062A" w:rsidP="00863411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5C53735F" wp14:editId="5700917E">
            <wp:extent cx="4821848" cy="2742468"/>
            <wp:effectExtent l="0" t="0" r="0" b="1270"/>
            <wp:docPr id="17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C3F63" w:rsidRPr="008C3F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D6C9C" wp14:editId="5C74306E">
                <wp:simplePos x="0" y="0"/>
                <wp:positionH relativeFrom="column">
                  <wp:posOffset>2834640</wp:posOffset>
                </wp:positionH>
                <wp:positionV relativeFrom="paragraph">
                  <wp:posOffset>12700</wp:posOffset>
                </wp:positionV>
                <wp:extent cx="907072" cy="281940"/>
                <wp:effectExtent l="0" t="0" r="0" b="0"/>
                <wp:wrapNone/>
                <wp:docPr id="4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072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F63" w:rsidRDefault="0082043F" w:rsidP="008C3F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>2 697</w:t>
                            </w:r>
                            <w:r w:rsidR="008C3F63"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 xml:space="preserve"> M€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</wp:anchor>
            </w:drawing>
          </mc:Choice>
          <mc:Fallback>
            <w:pict>
              <v:shapetype w14:anchorId="37ED6C9C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left:0;text-align:left;margin-left:223.2pt;margin-top:1pt;width:71.4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" filled="f" stroked="f">
                <v:textbox>
                  <w:txbxContent>
                    <w:p w:rsidR="008C3F63" w:rsidRDefault="0082043F" w:rsidP="008C3F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</w:rPr>
                        <w:t>2 697</w:t>
                      </w:r>
                      <w:r w:rsidR="008C3F63">
                        <w:rPr>
                          <w:rFonts w:asciiTheme="minorHAnsi" w:hAnsi="Calibri" w:cstheme="minorBidi"/>
                          <w:sz w:val="22"/>
                          <w:szCs w:val="22"/>
                        </w:rPr>
                        <w:t xml:space="preserve"> M€</w:t>
                      </w:r>
                    </w:p>
                  </w:txbxContent>
                </v:textbox>
              </v:shape>
            </w:pict>
          </mc:Fallback>
        </mc:AlternateContent>
      </w:r>
    </w:p>
    <w:p w:rsidR="00B34702" w:rsidRDefault="00B3470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t>Recettes de fonctionnement</w:t>
      </w:r>
    </w:p>
    <w:p w:rsidR="00B34702" w:rsidRDefault="00B34702" w:rsidP="00346DBB">
      <w:pPr>
        <w:jc w:val="both"/>
      </w:pPr>
      <w:r>
        <w:t xml:space="preserve">Les recettes réelles de fonctionnement </w:t>
      </w:r>
      <w:r w:rsidRPr="00FD523C">
        <w:t xml:space="preserve">atteignent </w:t>
      </w:r>
      <w:r w:rsidR="008D11D5" w:rsidRPr="00FD523C">
        <w:rPr>
          <w:b/>
        </w:rPr>
        <w:t xml:space="preserve">1 </w:t>
      </w:r>
      <w:r w:rsidR="00FD523C" w:rsidRPr="00FD523C">
        <w:rPr>
          <w:b/>
        </w:rPr>
        <w:t>8</w:t>
      </w:r>
      <w:r w:rsidR="00FD523C">
        <w:rPr>
          <w:b/>
        </w:rPr>
        <w:t>51</w:t>
      </w:r>
      <w:r w:rsidRPr="0088497C">
        <w:rPr>
          <w:b/>
        </w:rPr>
        <w:t xml:space="preserve"> M€</w:t>
      </w:r>
      <w:r>
        <w:t xml:space="preserve"> </w:t>
      </w:r>
      <w:r w:rsidRPr="00202F45">
        <w:rPr>
          <w:i/>
        </w:rPr>
        <w:t>(hors dette</w:t>
      </w:r>
      <w:r w:rsidR="008D11D5">
        <w:rPr>
          <w:i/>
        </w:rPr>
        <w:t>, hors provisions</w:t>
      </w:r>
      <w:r w:rsidRPr="00202F45">
        <w:rPr>
          <w:i/>
        </w:rPr>
        <w:t xml:space="preserve"> et hors péréquation au titre du fonds national de garantie individuelle des ressources – FNGIR)</w:t>
      </w:r>
      <w:r w:rsidR="00F47D0D">
        <w:rPr>
          <w:rStyle w:val="Appelnotedebasdep"/>
          <w:i/>
        </w:rPr>
        <w:footnoteReference w:id="1"/>
      </w:r>
      <w:r>
        <w:t>.</w:t>
      </w:r>
    </w:p>
    <w:p w:rsidR="00C513B7" w:rsidRDefault="00F47D0D" w:rsidP="00C513B7">
      <w:pPr>
        <w:jc w:val="center"/>
      </w:pPr>
      <w:r>
        <w:rPr>
          <w:i/>
          <w:noProof/>
          <w:lang w:eastAsia="fr-FR"/>
        </w:rPr>
        <w:drawing>
          <wp:inline distT="0" distB="0" distL="0" distR="0">
            <wp:extent cx="2836654" cy="2524125"/>
            <wp:effectExtent l="0" t="0" r="190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48" cy="2529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702" w:rsidRDefault="00B3470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lastRenderedPageBreak/>
        <w:t>Dépenses de fonctionnement</w:t>
      </w:r>
    </w:p>
    <w:p w:rsidR="00B34702" w:rsidRPr="00E577F9" w:rsidRDefault="00B34702" w:rsidP="00F74496">
      <w:pPr>
        <w:jc w:val="both"/>
      </w:pPr>
      <w:r w:rsidRPr="00E577F9">
        <w:t xml:space="preserve">Les dépenses de fonctionnement représentent </w:t>
      </w:r>
      <w:r w:rsidRPr="00E577F9">
        <w:rPr>
          <w:b/>
        </w:rPr>
        <w:t>1</w:t>
      </w:r>
      <w:r w:rsidR="00A80E28">
        <w:rPr>
          <w:b/>
        </w:rPr>
        <w:t> </w:t>
      </w:r>
      <w:r w:rsidR="00DD7863">
        <w:rPr>
          <w:b/>
        </w:rPr>
        <w:t>753</w:t>
      </w:r>
      <w:r w:rsidRPr="00E577F9">
        <w:rPr>
          <w:b/>
        </w:rPr>
        <w:t xml:space="preserve"> M€ </w:t>
      </w:r>
      <w:r w:rsidRPr="00E577F9">
        <w:rPr>
          <w:i/>
        </w:rPr>
        <w:t>(hors dette</w:t>
      </w:r>
      <w:r w:rsidR="00B85258">
        <w:rPr>
          <w:i/>
        </w:rPr>
        <w:t>, hors provisions</w:t>
      </w:r>
      <w:r w:rsidRPr="00E577F9">
        <w:rPr>
          <w:i/>
        </w:rPr>
        <w:t xml:space="preserve"> et hors péréquation au titre du fonds nationa</w:t>
      </w:r>
      <w:bookmarkStart w:id="0" w:name="_GoBack"/>
      <w:bookmarkEnd w:id="0"/>
      <w:r w:rsidRPr="00E577F9">
        <w:rPr>
          <w:i/>
        </w:rPr>
        <w:t>l de garantie individuelle des ressources – FNGIR)</w:t>
      </w:r>
      <w:r w:rsidRPr="00E577F9">
        <w:t xml:space="preserve">. </w:t>
      </w:r>
    </w:p>
    <w:p w:rsidR="00DB4AAF" w:rsidRDefault="00B34702" w:rsidP="00486291">
      <w:pPr>
        <w:jc w:val="both"/>
      </w:pPr>
      <w:r>
        <w:t>Les dépenses de solidarité</w:t>
      </w:r>
      <w:r w:rsidR="008C3F63">
        <w:t>s</w:t>
      </w:r>
      <w:r>
        <w:t xml:space="preserve"> (y compris les charges de personnel et les frais généraux) représentent </w:t>
      </w:r>
      <w:r w:rsidRPr="00DB4AAF">
        <w:t>5</w:t>
      </w:r>
      <w:r w:rsidR="00DB4AAF" w:rsidRPr="00DB4AAF">
        <w:t>5</w:t>
      </w:r>
      <w:r>
        <w:t> %</w:t>
      </w:r>
      <w:r w:rsidR="008F7669">
        <w:t xml:space="preserve"> des dépenses de fonctionnement (y compris dépenses imprévues)</w:t>
      </w:r>
      <w:r w:rsidR="00DB4AAF">
        <w:t>.</w:t>
      </w:r>
    </w:p>
    <w:p w:rsidR="00B34702" w:rsidRDefault="00DB4AAF" w:rsidP="00486291">
      <w:pPr>
        <w:jc w:val="both"/>
      </w:pPr>
      <w:r>
        <w:rPr>
          <w:noProof/>
          <w:lang w:eastAsia="fr-FR"/>
        </w:rPr>
        <w:drawing>
          <wp:inline distT="0" distB="0" distL="0" distR="0" wp14:anchorId="560950F5">
            <wp:extent cx="5973218" cy="3747135"/>
            <wp:effectExtent l="0" t="0" r="8890" b="571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24" cy="375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576" w:rsidRDefault="00784299" w:rsidP="00C02CA6">
      <w:pPr>
        <w:jc w:val="center"/>
      </w:pPr>
      <w:r>
        <w:rPr>
          <w:noProof/>
          <w:lang w:eastAsia="fr-FR"/>
        </w:rPr>
        <w:drawing>
          <wp:inline distT="0" distB="0" distL="0" distR="0" wp14:anchorId="6415A5B9">
            <wp:extent cx="4181475" cy="2773995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91" cy="2785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702" w:rsidRDefault="00B3470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lastRenderedPageBreak/>
        <w:t>Dépenses d’investissement</w:t>
      </w:r>
    </w:p>
    <w:p w:rsidR="00B34702" w:rsidRDefault="0018062A" w:rsidP="001C07BD">
      <w:r>
        <w:rPr>
          <w:b/>
        </w:rPr>
        <w:t>628</w:t>
      </w:r>
      <w:r w:rsidR="00FE6012">
        <w:rPr>
          <w:b/>
        </w:rPr>
        <w:t xml:space="preserve"> M€ </w:t>
      </w:r>
      <w:r w:rsidR="00FE6012" w:rsidRPr="00F065A5">
        <w:t>sont inscrits au titre des dépenses d’investissement</w:t>
      </w:r>
      <w:r w:rsidR="00FE6012">
        <w:t xml:space="preserve"> </w:t>
      </w:r>
      <w:r w:rsidR="00FE6012" w:rsidRPr="00F065A5">
        <w:t xml:space="preserve">(hors </w:t>
      </w:r>
      <w:r w:rsidR="00FE6012">
        <w:t xml:space="preserve">dépenses imprévues et </w:t>
      </w:r>
      <w:r w:rsidR="00FE6012" w:rsidRPr="00F065A5">
        <w:t>dette</w:t>
      </w:r>
      <w:r w:rsidR="00FE6012">
        <w:t>, y compris PPP</w:t>
      </w:r>
      <w:r w:rsidR="00FE6012" w:rsidRPr="00F065A5">
        <w:t>)</w:t>
      </w:r>
      <w:r w:rsidR="00FE6012">
        <w:t xml:space="preserve"> et</w:t>
      </w:r>
      <w:r w:rsidR="00FE6012">
        <w:rPr>
          <w:b/>
        </w:rPr>
        <w:t xml:space="preserve"> </w:t>
      </w:r>
      <w:r w:rsidR="00A80E28">
        <w:rPr>
          <w:b/>
        </w:rPr>
        <w:t>6</w:t>
      </w:r>
      <w:r>
        <w:rPr>
          <w:b/>
        </w:rPr>
        <w:t>33</w:t>
      </w:r>
      <w:r w:rsidR="00A80E28">
        <w:rPr>
          <w:b/>
        </w:rPr>
        <w:t xml:space="preserve"> </w:t>
      </w:r>
      <w:r w:rsidR="00B34702" w:rsidRPr="00F065A5">
        <w:rPr>
          <w:b/>
        </w:rPr>
        <w:t>M€</w:t>
      </w:r>
      <w:r w:rsidR="00FE6012">
        <w:rPr>
          <w:b/>
        </w:rPr>
        <w:t xml:space="preserve"> </w:t>
      </w:r>
      <w:r w:rsidR="00A80E28">
        <w:t xml:space="preserve">en comprenant </w:t>
      </w:r>
      <w:r w:rsidR="00FE6012">
        <w:t xml:space="preserve">5 M€ de crédits de </w:t>
      </w:r>
      <w:r w:rsidR="00FE6012" w:rsidRPr="00FE6012">
        <w:t>dépenses imprévues</w:t>
      </w:r>
      <w:r w:rsidR="00FE6012">
        <w:t>.</w:t>
      </w:r>
    </w:p>
    <w:p w:rsidR="00F065A5" w:rsidRDefault="0018062A" w:rsidP="0018062A">
      <w:pPr>
        <w:ind w:left="-851"/>
        <w:jc w:val="center"/>
      </w:pPr>
      <w:r>
        <w:rPr>
          <w:noProof/>
          <w:lang w:eastAsia="fr-FR"/>
        </w:rPr>
        <w:drawing>
          <wp:inline distT="0" distB="0" distL="0" distR="0" wp14:anchorId="0ED2D301">
            <wp:extent cx="6834505" cy="3523615"/>
            <wp:effectExtent l="0" t="0" r="4445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451" w:rsidRPr="00AE4FAB" w:rsidRDefault="00784299" w:rsidP="00AD11C4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  <w:lang w:eastAsia="fr-FR"/>
        </w:rPr>
        <w:drawing>
          <wp:inline distT="0" distB="0" distL="0" distR="0" wp14:anchorId="66C15E45">
            <wp:extent cx="5289550" cy="3814787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91" cy="3816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092" w:rsidRDefault="001D231F" w:rsidP="001D231F">
      <w:pPr>
        <w:tabs>
          <w:tab w:val="left" w:pos="7106"/>
        </w:tabs>
        <w:ind w:hanging="993"/>
      </w:pPr>
      <w:r>
        <w:tab/>
      </w:r>
      <w:r>
        <w:tab/>
      </w:r>
    </w:p>
    <w:p w:rsidR="00B34702" w:rsidRPr="00540F11" w:rsidRDefault="00B3470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</w:pPr>
      <w:r>
        <w:lastRenderedPageBreak/>
        <w:t xml:space="preserve">Financement des </w:t>
      </w:r>
      <w:r w:rsidRPr="00540F11">
        <w:t xml:space="preserve">investissements </w:t>
      </w:r>
    </w:p>
    <w:p w:rsidR="00AE52E0" w:rsidRPr="00A54E07" w:rsidRDefault="00B34702" w:rsidP="00B34702">
      <w:r w:rsidRPr="00540F11">
        <w:t xml:space="preserve">L’encours de dette du budget départemental s’élève à </w:t>
      </w:r>
      <w:r w:rsidR="00EE458C" w:rsidRPr="00540F11">
        <w:rPr>
          <w:b/>
        </w:rPr>
        <w:t>1</w:t>
      </w:r>
      <w:r w:rsidR="00540F11" w:rsidRPr="00540F11">
        <w:rPr>
          <w:b/>
        </w:rPr>
        <w:t>56</w:t>
      </w:r>
      <w:r w:rsidRPr="00540F11">
        <w:rPr>
          <w:b/>
        </w:rPr>
        <w:t> M</w:t>
      </w:r>
      <w:r w:rsidRPr="00B85258">
        <w:rPr>
          <w:b/>
        </w:rPr>
        <w:t>€</w:t>
      </w:r>
      <w:r w:rsidRPr="00A54E07">
        <w:t xml:space="preserve"> au </w:t>
      </w:r>
      <w:r w:rsidR="00B85258">
        <w:t>1</w:t>
      </w:r>
      <w:r w:rsidR="00B85258" w:rsidRPr="00B85258">
        <w:rPr>
          <w:vertAlign w:val="superscript"/>
        </w:rPr>
        <w:t>er</w:t>
      </w:r>
      <w:r w:rsidR="00EE458C">
        <w:t xml:space="preserve"> janvier 202</w:t>
      </w:r>
      <w:r w:rsidR="00A80E28">
        <w:t>3</w:t>
      </w:r>
      <w:r w:rsidRPr="00A54E07">
        <w:t>.</w:t>
      </w:r>
      <w:r w:rsidR="0098343D" w:rsidRPr="00A54E07">
        <w:t xml:space="preserve"> </w:t>
      </w:r>
    </w:p>
    <w:p w:rsidR="00B34702" w:rsidRPr="00F94C84" w:rsidRDefault="008D542C" w:rsidP="00B34702">
      <w:r>
        <w:t>Aucun emprunt n’est prévu pour financer le budget</w:t>
      </w:r>
      <w:r w:rsidR="005B05A9">
        <w:t xml:space="preserve"> départemental</w:t>
      </w:r>
      <w:r>
        <w:t xml:space="preserve"> 202</w:t>
      </w:r>
      <w:r w:rsidR="00A80E28">
        <w:t>3</w:t>
      </w:r>
      <w:r w:rsidR="00B34702" w:rsidRPr="00FB79C7">
        <w:t>.</w:t>
      </w:r>
    </w:p>
    <w:p w:rsidR="00B34702" w:rsidRDefault="001F5391" w:rsidP="002D0EC1">
      <w:pPr>
        <w:jc w:val="center"/>
      </w:pPr>
      <w:r>
        <w:rPr>
          <w:noProof/>
          <w:lang w:eastAsia="fr-FR"/>
        </w:rPr>
        <w:drawing>
          <wp:inline distT="0" distB="0" distL="0" distR="0" wp14:anchorId="07F61463" wp14:editId="32238C3D">
            <wp:extent cx="4924425" cy="2802255"/>
            <wp:effectExtent l="0" t="0" r="9525" b="1714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B34702" w:rsidSect="007F30A0">
      <w:footerReference w:type="default" r:id="rId16"/>
      <w:headerReference w:type="first" r:id="rId1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35" w:rsidRDefault="00292035" w:rsidP="00B34702">
      <w:pPr>
        <w:spacing w:after="0" w:line="240" w:lineRule="auto"/>
      </w:pPr>
      <w:r>
        <w:separator/>
      </w:r>
    </w:p>
  </w:endnote>
  <w:endnote w:type="continuationSeparator" w:id="0">
    <w:p w:rsidR="00292035" w:rsidRDefault="00292035" w:rsidP="00B3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BC" w:rsidRDefault="00D647BC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1A11F6" wp14:editId="4E2FEA0D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e"/>
                              <w:id w:val="281162324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D647BC" w:rsidRDefault="00784299">
                                <w:pPr>
                                  <w:pStyle w:val="Pieddepage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Présentation synthétique BP 2022</w:t>
                                </w:r>
                              </w:p>
                            </w:sdtContent>
                          </w:sdt>
                          <w:p w:rsidR="00D647BC" w:rsidRDefault="00D647BC">
                            <w:pPr>
                              <w:pStyle w:val="En-tt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7BC" w:rsidRDefault="00D647BC">
                            <w:pPr>
                              <w:pStyle w:val="Pieddepag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A12750" w:rsidRPr="00A12750">
                              <w:rPr>
                                <w:noProof/>
                                <w:color w:val="FFFFFF" w:themeColor="background1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11F6" id="Groupe 156" o:spid="_x0000_s1027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">
              <v:rect id="Rectangle 157" o:spid="_x0000_s1028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" fillcolor="#8db3e2 [1311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e"/>
                        <w:id w:val="281162324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D647BC" w:rsidRDefault="00784299">
                          <w:pPr>
                            <w:pStyle w:val="Pieddepage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Présentation synthétique BP 2022</w:t>
                          </w:r>
                        </w:p>
                      </w:sdtContent>
                    </w:sdt>
                    <w:p w:rsidR="00D647BC" w:rsidRDefault="00D647BC">
                      <w:pPr>
                        <w:pStyle w:val="En-tt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" fillcolor="#8db3e2 [1311]" stroked="f">
                <v:textbox>
                  <w:txbxContent>
                    <w:p w:rsidR="00D647BC" w:rsidRDefault="00D647BC">
                      <w:pPr>
                        <w:pStyle w:val="Pieddepag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A12750" w:rsidRPr="00A12750">
                        <w:rPr>
                          <w:noProof/>
                          <w:color w:val="FFFFFF" w:themeColor="background1"/>
                        </w:rPr>
                        <w:t>4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D647BC" w:rsidRDefault="00D647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35" w:rsidRDefault="00292035" w:rsidP="00B34702">
      <w:pPr>
        <w:spacing w:after="0" w:line="240" w:lineRule="auto"/>
      </w:pPr>
      <w:r>
        <w:separator/>
      </w:r>
    </w:p>
  </w:footnote>
  <w:footnote w:type="continuationSeparator" w:id="0">
    <w:p w:rsidR="00292035" w:rsidRDefault="00292035" w:rsidP="00B34702">
      <w:pPr>
        <w:spacing w:after="0" w:line="240" w:lineRule="auto"/>
      </w:pPr>
      <w:r>
        <w:continuationSeparator/>
      </w:r>
    </w:p>
  </w:footnote>
  <w:footnote w:id="1">
    <w:p w:rsidR="00F47D0D" w:rsidRDefault="00F47D0D" w:rsidP="00F47D0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La compensation versée par la Région Île-de-France au titre du transfert de CVAE, d’un montant de 345 M€, est ici incluse dans la catégorie « fiscalité directe », avec l’impôt forfaitaire sur les infrastructures de réseaux (IFER) pour 2 M€, l’ensemble étant diminué de 242 M€ au titre du FNGIR).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BC" w:rsidRDefault="00D647BC" w:rsidP="007F30A0">
    <w:pPr>
      <w:pStyle w:val="En-tte"/>
      <w:ind w:left="-426"/>
    </w:pPr>
    <w:r w:rsidRPr="00373171">
      <w:rPr>
        <w:noProof/>
        <w:lang w:eastAsia="fr-FR"/>
      </w:rPr>
      <w:drawing>
        <wp:inline distT="0" distB="0" distL="0" distR="0" wp14:anchorId="1F32CCD7" wp14:editId="7AE91EF5">
          <wp:extent cx="2543175" cy="609600"/>
          <wp:effectExtent l="0" t="0" r="9525" b="0"/>
          <wp:docPr id="3" name="Image 3" descr="logo 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B64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2"/>
    <w:rsid w:val="00003353"/>
    <w:rsid w:val="00005A79"/>
    <w:rsid w:val="000208C2"/>
    <w:rsid w:val="00032590"/>
    <w:rsid w:val="00052179"/>
    <w:rsid w:val="000572AB"/>
    <w:rsid w:val="000A1E84"/>
    <w:rsid w:val="000C27B1"/>
    <w:rsid w:val="000C39C7"/>
    <w:rsid w:val="000E12EA"/>
    <w:rsid w:val="0014058A"/>
    <w:rsid w:val="00156B7E"/>
    <w:rsid w:val="0018062A"/>
    <w:rsid w:val="00185047"/>
    <w:rsid w:val="00190889"/>
    <w:rsid w:val="001C07BD"/>
    <w:rsid w:val="001C32F1"/>
    <w:rsid w:val="001D231F"/>
    <w:rsid w:val="001D5D75"/>
    <w:rsid w:val="001D687F"/>
    <w:rsid w:val="001D6968"/>
    <w:rsid w:val="001F5391"/>
    <w:rsid w:val="00202F45"/>
    <w:rsid w:val="00236BDF"/>
    <w:rsid w:val="00265AF6"/>
    <w:rsid w:val="00275325"/>
    <w:rsid w:val="00292035"/>
    <w:rsid w:val="002961A1"/>
    <w:rsid w:val="00297B4F"/>
    <w:rsid w:val="00297F82"/>
    <w:rsid w:val="002A249B"/>
    <w:rsid w:val="002A7AF8"/>
    <w:rsid w:val="002B1670"/>
    <w:rsid w:val="002B6362"/>
    <w:rsid w:val="002B6921"/>
    <w:rsid w:val="002C71EB"/>
    <w:rsid w:val="002C7BD9"/>
    <w:rsid w:val="002D0EC1"/>
    <w:rsid w:val="002E3192"/>
    <w:rsid w:val="002E525B"/>
    <w:rsid w:val="002E5E6C"/>
    <w:rsid w:val="00301664"/>
    <w:rsid w:val="00302E20"/>
    <w:rsid w:val="00311451"/>
    <w:rsid w:val="00311C7F"/>
    <w:rsid w:val="00323E35"/>
    <w:rsid w:val="003443FB"/>
    <w:rsid w:val="00346DBB"/>
    <w:rsid w:val="0037549F"/>
    <w:rsid w:val="00397FB4"/>
    <w:rsid w:val="003B6B27"/>
    <w:rsid w:val="003E17EE"/>
    <w:rsid w:val="003E2DE0"/>
    <w:rsid w:val="003E3C67"/>
    <w:rsid w:val="00414077"/>
    <w:rsid w:val="00427FC4"/>
    <w:rsid w:val="00430279"/>
    <w:rsid w:val="00486291"/>
    <w:rsid w:val="00497F6D"/>
    <w:rsid w:val="004B6D29"/>
    <w:rsid w:val="004D553D"/>
    <w:rsid w:val="004E2377"/>
    <w:rsid w:val="004E259C"/>
    <w:rsid w:val="004E59D6"/>
    <w:rsid w:val="00540F11"/>
    <w:rsid w:val="00545857"/>
    <w:rsid w:val="00545E1B"/>
    <w:rsid w:val="00547AD5"/>
    <w:rsid w:val="00567A12"/>
    <w:rsid w:val="00581557"/>
    <w:rsid w:val="005A531F"/>
    <w:rsid w:val="005B05A9"/>
    <w:rsid w:val="005B5AD2"/>
    <w:rsid w:val="005D05AE"/>
    <w:rsid w:val="006170FC"/>
    <w:rsid w:val="00624E71"/>
    <w:rsid w:val="0064089D"/>
    <w:rsid w:val="00650F86"/>
    <w:rsid w:val="0065122F"/>
    <w:rsid w:val="00662630"/>
    <w:rsid w:val="00667223"/>
    <w:rsid w:val="00695410"/>
    <w:rsid w:val="006B50C7"/>
    <w:rsid w:val="006D01AD"/>
    <w:rsid w:val="006E0952"/>
    <w:rsid w:val="006E5527"/>
    <w:rsid w:val="006F5DF2"/>
    <w:rsid w:val="007114BC"/>
    <w:rsid w:val="00750BFB"/>
    <w:rsid w:val="00757140"/>
    <w:rsid w:val="00784299"/>
    <w:rsid w:val="00793FD4"/>
    <w:rsid w:val="007969A3"/>
    <w:rsid w:val="007D07FF"/>
    <w:rsid w:val="007D6581"/>
    <w:rsid w:val="007E6932"/>
    <w:rsid w:val="007F30A0"/>
    <w:rsid w:val="0082043F"/>
    <w:rsid w:val="00821181"/>
    <w:rsid w:val="00822F22"/>
    <w:rsid w:val="00863411"/>
    <w:rsid w:val="00864936"/>
    <w:rsid w:val="008747BB"/>
    <w:rsid w:val="00877BCE"/>
    <w:rsid w:val="0088497C"/>
    <w:rsid w:val="00886942"/>
    <w:rsid w:val="00892053"/>
    <w:rsid w:val="008C0AE2"/>
    <w:rsid w:val="008C3F63"/>
    <w:rsid w:val="008D11D5"/>
    <w:rsid w:val="008D542C"/>
    <w:rsid w:val="008F0638"/>
    <w:rsid w:val="008F3459"/>
    <w:rsid w:val="008F7669"/>
    <w:rsid w:val="009112C4"/>
    <w:rsid w:val="00923A02"/>
    <w:rsid w:val="00955E25"/>
    <w:rsid w:val="00970C61"/>
    <w:rsid w:val="0098343D"/>
    <w:rsid w:val="009A3FF6"/>
    <w:rsid w:val="009B133F"/>
    <w:rsid w:val="009C7C1B"/>
    <w:rsid w:val="009D6235"/>
    <w:rsid w:val="00A12750"/>
    <w:rsid w:val="00A136A7"/>
    <w:rsid w:val="00A208A9"/>
    <w:rsid w:val="00A54E07"/>
    <w:rsid w:val="00A636C2"/>
    <w:rsid w:val="00A757D3"/>
    <w:rsid w:val="00A80E28"/>
    <w:rsid w:val="00A8485E"/>
    <w:rsid w:val="00AB49D3"/>
    <w:rsid w:val="00AD11C4"/>
    <w:rsid w:val="00AE4013"/>
    <w:rsid w:val="00AE4FAB"/>
    <w:rsid w:val="00AE52E0"/>
    <w:rsid w:val="00AE57A1"/>
    <w:rsid w:val="00B1144B"/>
    <w:rsid w:val="00B24990"/>
    <w:rsid w:val="00B34702"/>
    <w:rsid w:val="00B354D6"/>
    <w:rsid w:val="00B73843"/>
    <w:rsid w:val="00B80402"/>
    <w:rsid w:val="00B85258"/>
    <w:rsid w:val="00B856FB"/>
    <w:rsid w:val="00BC1FCD"/>
    <w:rsid w:val="00BE2D13"/>
    <w:rsid w:val="00BF6398"/>
    <w:rsid w:val="00C02CA6"/>
    <w:rsid w:val="00C1132A"/>
    <w:rsid w:val="00C317C0"/>
    <w:rsid w:val="00C32918"/>
    <w:rsid w:val="00C513B7"/>
    <w:rsid w:val="00C65745"/>
    <w:rsid w:val="00C76936"/>
    <w:rsid w:val="00CB0FDD"/>
    <w:rsid w:val="00CF26ED"/>
    <w:rsid w:val="00CF3A86"/>
    <w:rsid w:val="00CF5C34"/>
    <w:rsid w:val="00D147E2"/>
    <w:rsid w:val="00D274E5"/>
    <w:rsid w:val="00D35092"/>
    <w:rsid w:val="00D647BC"/>
    <w:rsid w:val="00DB4AAF"/>
    <w:rsid w:val="00DD5DCF"/>
    <w:rsid w:val="00DD7863"/>
    <w:rsid w:val="00E46C5E"/>
    <w:rsid w:val="00E577F9"/>
    <w:rsid w:val="00E7495A"/>
    <w:rsid w:val="00E81643"/>
    <w:rsid w:val="00E90BD0"/>
    <w:rsid w:val="00E928F1"/>
    <w:rsid w:val="00EC2992"/>
    <w:rsid w:val="00EC76A6"/>
    <w:rsid w:val="00EE1393"/>
    <w:rsid w:val="00EE458C"/>
    <w:rsid w:val="00EF4688"/>
    <w:rsid w:val="00F03E95"/>
    <w:rsid w:val="00F05576"/>
    <w:rsid w:val="00F065A5"/>
    <w:rsid w:val="00F47D0D"/>
    <w:rsid w:val="00F51783"/>
    <w:rsid w:val="00F61A81"/>
    <w:rsid w:val="00F74496"/>
    <w:rsid w:val="00F817D4"/>
    <w:rsid w:val="00F96A07"/>
    <w:rsid w:val="00FA528C"/>
    <w:rsid w:val="00FB79C7"/>
    <w:rsid w:val="00FC0143"/>
    <w:rsid w:val="00FD34A5"/>
    <w:rsid w:val="00FD523C"/>
    <w:rsid w:val="00FD5E79"/>
    <w:rsid w:val="00FE44D3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5DD74"/>
  <w15:docId w15:val="{42F648C7-8A4E-4E6B-A787-01679457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0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34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3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702"/>
  </w:style>
  <w:style w:type="paragraph" w:styleId="Pieddepage">
    <w:name w:val="footer"/>
    <w:basedOn w:val="Normal"/>
    <w:link w:val="Pieddepag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702"/>
  </w:style>
  <w:style w:type="character" w:styleId="Marquedecommentaire">
    <w:name w:val="annotation reference"/>
    <w:basedOn w:val="Policepardfaut"/>
    <w:uiPriority w:val="99"/>
    <w:semiHidden/>
    <w:unhideWhenUsed/>
    <w:rsid w:val="007F3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0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0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0A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7495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7495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7495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49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49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4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as-users\SHARES\PRHF\DF\DF-N-HOD-DF\DF-N-HOD-DF-BUDGET\2023\BP%2023\BP%2023%20Rapport\BD\Fichier%20de%20travail\Julien\Tabx%20pr&#233;sentation%20synth&#233;tique%20BP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nas-users\SHARES\PRHF\DF\DF-N-HOD-DF\DF-N-HOD-DF-BUDGET\2023\BP%2023\BP%2023%20Rapport\BD\Fichier%20de%20travail\Julien\Tabx%20pr&#233;sentation%20synth&#233;tique%20BP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873788642875591E-2"/>
          <c:y val="3.2412570707494356E-2"/>
          <c:w val="0.70418001562886268"/>
          <c:h val="0.7200098597321827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'budget global'!$A$2</c:f>
              <c:strCache>
                <c:ptCount val="1"/>
                <c:pt idx="0">
                  <c:v>Fonctionnement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1 753 M€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599-4B7E-A160-49FBC2FD15C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2</a:t>
                    </a:r>
                    <a:r>
                      <a:rPr lang="en-US" b="1" baseline="0">
                        <a:solidFill>
                          <a:schemeClr val="bg1"/>
                        </a:solidFill>
                      </a:rPr>
                      <a:t> 030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 M€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599-4B7E-A160-49FBC2FD15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'budget global'!$B$1:$C$1</c:f>
              <c:strCache>
                <c:ptCount val="2"/>
                <c:pt idx="0">
                  <c:v>Dépenses BP 2023
(hors dette, FNGIR et provisions, dépenses imprévues, yc PPP)</c:v>
                </c:pt>
                <c:pt idx="1">
                  <c:v>Dépenses BP 2023 (mvts réels)</c:v>
                </c:pt>
              </c:strCache>
            </c:strRef>
          </c:cat>
          <c:val>
            <c:numRef>
              <c:f>'budget global'!$B$2:$C$2</c:f>
              <c:numCache>
                <c:formatCode>#,##0</c:formatCode>
                <c:ptCount val="2"/>
                <c:pt idx="0">
                  <c:v>1753</c:v>
                </c:pt>
                <c:pt idx="1">
                  <c:v>2030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99-4B7E-A160-49FBC2FD15C2}"/>
            </c:ext>
          </c:extLst>
        </c:ser>
        <c:ser>
          <c:idx val="1"/>
          <c:order val="1"/>
          <c:tx>
            <c:strRef>
              <c:f>'budget global'!$A$3</c:f>
              <c:strCache>
                <c:ptCount val="1"/>
                <c:pt idx="0">
                  <c:v>Investissement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628 M€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599-4B7E-A160-49FBC2FD15C2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bg1"/>
                        </a:solidFill>
                      </a:rPr>
                      <a:t>667 M€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599-4B7E-A160-49FBC2FD15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'budget global'!$B$1:$C$1</c:f>
              <c:strCache>
                <c:ptCount val="2"/>
                <c:pt idx="0">
                  <c:v>Dépenses BP 2023
(hors dette, FNGIR et provisions, dépenses imprévues, yc PPP)</c:v>
                </c:pt>
                <c:pt idx="1">
                  <c:v>Dépenses BP 2023 (mvts réels)</c:v>
                </c:pt>
              </c:strCache>
            </c:strRef>
          </c:cat>
          <c:val>
            <c:numRef>
              <c:f>'budget global'!$B$3:$C$3</c:f>
              <c:numCache>
                <c:formatCode>0</c:formatCode>
                <c:ptCount val="2"/>
                <c:pt idx="0">
                  <c:v>628</c:v>
                </c:pt>
                <c:pt idx="1">
                  <c:v>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599-4B7E-A160-49FBC2FD1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36320"/>
        <c:axId val="131737856"/>
      </c:barChart>
      <c:catAx>
        <c:axId val="13173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737856"/>
        <c:crosses val="autoZero"/>
        <c:auto val="1"/>
        <c:lblAlgn val="ctr"/>
        <c:lblOffset val="100"/>
        <c:noMultiLvlLbl val="0"/>
      </c:catAx>
      <c:valAx>
        <c:axId val="13173785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#,##0" sourceLinked="1"/>
        <c:majorTickMark val="out"/>
        <c:minorTickMark val="none"/>
        <c:tickLblPos val="nextTo"/>
        <c:crossAx val="131736320"/>
        <c:crosses val="autoZero"/>
        <c:crossBetween val="between"/>
      </c:valAx>
      <c:spPr>
        <a:ln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633 M€</a:t>
            </a:r>
          </a:p>
        </c:rich>
      </c:tx>
      <c:layout>
        <c:manualLayout>
          <c:xMode val="edge"/>
          <c:yMode val="edge"/>
          <c:x val="0.42618945359102839"/>
          <c:y val="1.35961930659415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6071774877269941E-2"/>
          <c:y val="4.0027406499408509E-2"/>
          <c:w val="0.81221881519617745"/>
          <c:h val="0.86578403051731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'finct inv'!$A$1</c:f>
              <c:strCache>
                <c:ptCount val="1"/>
                <c:pt idx="0">
                  <c:v>Recettes propres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900">
                        <a:solidFill>
                          <a:schemeClr val="bg1"/>
                        </a:solidFill>
                      </a:rPr>
                      <a:t>Recettes propres
196 M€</a:t>
                    </a:r>
                    <a:endParaRPr lang="en-US" sz="90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FC9-42F5-AE93-2F2382177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BP 2019</c:v>
              </c:pt>
            </c:strLit>
          </c:cat>
          <c:val>
            <c:numRef>
              <c:f>'finct inv'!$B$1</c:f>
              <c:numCache>
                <c:formatCode>0</c:formatCode>
                <c:ptCount val="1"/>
                <c:pt idx="0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C9-42F5-AE93-2F238217793B}"/>
            </c:ext>
          </c:extLst>
        </c:ser>
        <c:ser>
          <c:idx val="0"/>
          <c:order val="1"/>
          <c:tx>
            <c:strRef>
              <c:f>'finct inv'!$A$2</c:f>
              <c:strCache>
                <c:ptCount val="1"/>
                <c:pt idx="0">
                  <c:v>Autofinancement net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950">
                        <a:solidFill>
                          <a:schemeClr val="bg1"/>
                        </a:solidFill>
                      </a:rPr>
                      <a:t>Autofinancement </a:t>
                    </a:r>
                  </a:p>
                  <a:p>
                    <a:r>
                      <a:rPr lang="en-US" sz="950">
                        <a:solidFill>
                          <a:schemeClr val="bg1"/>
                        </a:solidFill>
                      </a:rPr>
                      <a:t>net
437 M€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FC9-42F5-AE93-2F2382177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Lit>
              <c:ptCount val="1"/>
              <c:pt idx="0">
                <c:v>BP 2019</c:v>
              </c:pt>
            </c:strLit>
          </c:cat>
          <c:val>
            <c:numRef>
              <c:f>'finct inv'!$B$2</c:f>
              <c:numCache>
                <c:formatCode>0</c:formatCode>
                <c:ptCount val="1"/>
                <c:pt idx="0">
                  <c:v>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C9-42F5-AE93-2F238217793B}"/>
            </c:ext>
          </c:extLst>
        </c:ser>
        <c:ser>
          <c:idx val="2"/>
          <c:order val="2"/>
          <c:tx>
            <c:strRef>
              <c:f>'finct inv'!$A$3</c:f>
              <c:strCache>
                <c:ptCount val="1"/>
                <c:pt idx="0">
                  <c:v>Emprunt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Lit>
              <c:ptCount val="1"/>
              <c:pt idx="0">
                <c:v>BP 2019</c:v>
              </c:pt>
            </c:strLit>
          </c:cat>
          <c:val>
            <c:numRef>
              <c:f>'finct inv'!$B$3</c:f>
              <c:numCache>
                <c:formatCode>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C9-42F5-AE93-2F238217793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133843584"/>
        <c:axId val="133869952"/>
      </c:barChart>
      <c:catAx>
        <c:axId val="1338435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3869952"/>
        <c:crosses val="autoZero"/>
        <c:auto val="1"/>
        <c:lblAlgn val="ctr"/>
        <c:lblOffset val="100"/>
        <c:noMultiLvlLbl val="0"/>
      </c:catAx>
      <c:valAx>
        <c:axId val="13386995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3384358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0.13051</cdr:x>
      <cdr:y>0.092</cdr:y>
    </cdr:from>
    <cdr:to>
      <cdr:x>0.31176</cdr:x>
      <cdr:y>0.1927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629322" y="252310"/>
          <a:ext cx="873960" cy="2761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1100"/>
            <a:t>2</a:t>
          </a:r>
          <a:r>
            <a:rPr lang="fr-FR" sz="1100" baseline="0"/>
            <a:t> 381</a:t>
          </a:r>
          <a:r>
            <a:rPr lang="fr-FR" sz="1100"/>
            <a:t> </a:t>
          </a:r>
          <a:r>
            <a:rPr lang="fr-FR" sz="1100" baseline="0"/>
            <a:t>M€</a:t>
          </a:r>
          <a:endParaRPr lang="fr-FR" sz="1100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Présentation synthétique BP 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D357C0-BF50-4CBA-8974-EA5BE12A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TEUFF LEFRERE Sylvie - PF/DPEF/SPF</dc:creator>
  <cp:lastModifiedBy>DUPONT Fabien - PFCPL/DFCG/SSFA</cp:lastModifiedBy>
  <cp:revision>11</cp:revision>
  <cp:lastPrinted>2019-11-27T10:06:00Z</cp:lastPrinted>
  <dcterms:created xsi:type="dcterms:W3CDTF">2023-03-17T13:19:00Z</dcterms:created>
  <dcterms:modified xsi:type="dcterms:W3CDTF">2023-03-21T08:27:00Z</dcterms:modified>
</cp:coreProperties>
</file>